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1D657">
      <w:pPr>
        <w:jc w:val="center"/>
        <w:rPr>
          <w:b/>
          <w:bCs/>
          <w:szCs w:val="24"/>
          <w:lang w:eastAsia="lt-LT"/>
        </w:rPr>
      </w:pPr>
      <w:bookmarkStart w:id="0" w:name="_Hlk85476012"/>
      <w:r>
        <w:rPr>
          <w:b/>
          <w:bCs/>
          <w:szCs w:val="24"/>
          <w:lang w:eastAsia="lt-LT"/>
        </w:rPr>
        <w:t>ĮSAKYMAS</w:t>
      </w:r>
    </w:p>
    <w:p w14:paraId="78D86560">
      <w:pPr>
        <w:keepNext/>
        <w:widowControl w:val="0"/>
        <w:shd w:val="clear" w:color="auto" w:fill="FFFFFF"/>
        <w:suppressAutoHyphens/>
        <w:jc w:val="center"/>
        <w:textAlignment w:val="baseline"/>
        <w:rPr>
          <w:b/>
          <w:caps/>
          <w:lang w:eastAsia="lt-LT"/>
        </w:rPr>
      </w:pPr>
      <w:r>
        <w:rPr>
          <w:b/>
          <w:bCs/>
          <w:szCs w:val="24"/>
          <w:lang w:eastAsia="lt-LT"/>
        </w:rPr>
        <w:t xml:space="preserve">DĖL </w:t>
      </w:r>
      <w:r>
        <w:rPr>
          <w:b/>
          <w:caps/>
          <w:lang w:eastAsia="lt-LT"/>
        </w:rPr>
        <w:t>TEISĖTO DARBO SU VAIKAIS KODO TIKRINIMO TVARKOS APRAŠO</w:t>
      </w:r>
    </w:p>
    <w:p w14:paraId="7438978D">
      <w:pPr>
        <w:jc w:val="center"/>
        <w:rPr>
          <w:b/>
          <w:bCs/>
          <w:szCs w:val="24"/>
          <w:lang w:eastAsia="lt-LT"/>
        </w:rPr>
      </w:pPr>
      <w:r>
        <w:rPr>
          <w:b/>
          <w:bCs/>
          <w:szCs w:val="24"/>
          <w:lang w:eastAsia="lt-LT"/>
        </w:rPr>
        <w:t>PATVIRTINIMO</w:t>
      </w:r>
    </w:p>
    <w:p w14:paraId="3A1AF528">
      <w:pPr>
        <w:jc w:val="center"/>
        <w:rPr>
          <w:szCs w:val="24"/>
          <w:lang w:eastAsia="lt-LT"/>
        </w:rPr>
      </w:pPr>
    </w:p>
    <w:p w14:paraId="373BDFF7">
      <w:pPr>
        <w:ind w:left="2880"/>
        <w:rPr>
          <w:rFonts w:hint="default"/>
          <w:szCs w:val="24"/>
          <w:lang w:val="en-US" w:eastAsia="lt-LT"/>
        </w:rPr>
      </w:pPr>
      <w:r>
        <w:rPr>
          <w:szCs w:val="24"/>
          <w:lang w:eastAsia="lt-LT"/>
        </w:rPr>
        <w:t>2025 m.</w:t>
      </w:r>
      <w:r>
        <w:rPr>
          <w:rFonts w:hint="default"/>
          <w:szCs w:val="24"/>
          <w:lang w:val="en-US" w:eastAsia="lt-LT"/>
        </w:rPr>
        <w:t xml:space="preserve"> rugpjūčio 1</w:t>
      </w:r>
      <w:r>
        <w:rPr>
          <w:szCs w:val="24"/>
          <w:lang w:eastAsia="lt-LT"/>
        </w:rPr>
        <w:t xml:space="preserve"> d. Nr.</w:t>
      </w:r>
      <w:r>
        <w:rPr>
          <w:rFonts w:hint="default"/>
          <w:szCs w:val="24"/>
          <w:lang w:val="en-US" w:eastAsia="lt-LT"/>
        </w:rPr>
        <w:t xml:space="preserve"> V - 34</w:t>
      </w:r>
    </w:p>
    <w:p w14:paraId="0F0BD7CE">
      <w:pPr>
        <w:jc w:val="center"/>
        <w:rPr>
          <w:szCs w:val="24"/>
          <w:lang w:eastAsia="lt-LT"/>
        </w:rPr>
      </w:pPr>
    </w:p>
    <w:p w14:paraId="5462C1D7">
      <w:pPr>
        <w:ind w:firstLine="720"/>
        <w:jc w:val="both"/>
        <w:rPr>
          <w:szCs w:val="24"/>
          <w:lang w:eastAsia="lt-LT"/>
        </w:rPr>
      </w:pPr>
    </w:p>
    <w:p w14:paraId="6BB3444C">
      <w:pPr>
        <w:ind w:firstLine="851"/>
        <w:jc w:val="both"/>
        <w:rPr>
          <w:szCs w:val="24"/>
          <w:lang w:eastAsia="lt-LT"/>
        </w:rPr>
      </w:pPr>
      <w:r>
        <w:rPr>
          <w:szCs w:val="24"/>
          <w:lang w:eastAsia="lt-LT"/>
        </w:rPr>
        <w:t xml:space="preserve">Vadovaujantis </w:t>
      </w:r>
      <w:r>
        <w:rPr>
          <w:bCs/>
          <w:szCs w:val="24"/>
          <w:lang w:eastAsia="lt-LT"/>
        </w:rPr>
        <w:t>Lietuvos Respublikos vaiko teisių apsaugos pagrindų įstatymo 30 straipsniu ir Teisėto darbo su vaikais kodo išdavimo ir naudojimo tvarkos aprašu, patvirtintu Informatikos ir ryšių departamento prie Lietuvos Respublikos vidaus reikalų ministerijos direktoriaus 2024 m. spalio 31 d. įsakymu Nr. 5V-123 „Dėl Teisėto darbo su vaikais kodo išdavimo ir naudojimo tvarkos aprašo ir Teisėto darbo su vaikais kodo atvaizdavimo formos patvirtinimo“</w:t>
      </w:r>
      <w:r>
        <w:rPr>
          <w:szCs w:val="24"/>
          <w:lang w:eastAsia="lt-LT"/>
        </w:rPr>
        <w:t>:</w:t>
      </w:r>
    </w:p>
    <w:p w14:paraId="575006BA">
      <w:pPr>
        <w:pStyle w:val="11"/>
        <w:numPr>
          <w:ilvl w:val="0"/>
          <w:numId w:val="1"/>
        </w:numPr>
        <w:spacing w:after="0" w:line="240" w:lineRule="auto"/>
        <w:ind w:left="0" w:firstLine="851"/>
        <w:jc w:val="both"/>
        <w:rPr>
          <w:rFonts w:ascii="Times New Roman" w:hAnsi="Times New Roman" w:eastAsia="Calibri" w:cs="Times New Roman"/>
          <w:sz w:val="24"/>
          <w:szCs w:val="24"/>
          <w:lang w:eastAsia="lt-LT"/>
        </w:rPr>
      </w:pPr>
      <w:r>
        <w:rPr>
          <w:rFonts w:ascii="Times New Roman" w:hAnsi="Times New Roman" w:eastAsia="Calibri" w:cs="Times New Roman"/>
          <w:sz w:val="24"/>
          <w:szCs w:val="24"/>
          <w:lang w:eastAsia="lt-LT"/>
        </w:rPr>
        <w:t xml:space="preserve">tvirtinu </w:t>
      </w:r>
      <w:r>
        <w:rPr>
          <w:rFonts w:ascii="Times New Roman" w:hAnsi="Times New Roman" w:cs="Times New Roman"/>
          <w:bCs/>
          <w:sz w:val="24"/>
          <w:szCs w:val="24"/>
          <w:lang w:eastAsia="lt-LT"/>
        </w:rPr>
        <w:t xml:space="preserve">Teisėto darbo su vaikais kodo tikrinimo tvarkos aprašą </w:t>
      </w:r>
      <w:r>
        <w:rPr>
          <w:rFonts w:ascii="Times New Roman" w:hAnsi="Times New Roman" w:eastAsia="Calibri" w:cs="Times New Roman"/>
          <w:sz w:val="24"/>
          <w:szCs w:val="24"/>
          <w:lang w:eastAsia="lt-LT"/>
        </w:rPr>
        <w:t>(pridedama);</w:t>
      </w:r>
    </w:p>
    <w:p w14:paraId="1C4B4670">
      <w:pPr>
        <w:numPr>
          <w:ilvl w:val="0"/>
          <w:numId w:val="1"/>
        </w:numPr>
        <w:ind w:left="0" w:firstLine="851"/>
        <w:contextualSpacing/>
        <w:jc w:val="both"/>
        <w:rPr>
          <w:rFonts w:eastAsia="Calibri"/>
          <w:szCs w:val="24"/>
          <w:lang w:eastAsia="lt-LT"/>
        </w:rPr>
      </w:pPr>
      <w:r>
        <w:rPr>
          <w:rFonts w:eastAsia="Calibri"/>
          <w:szCs w:val="24"/>
          <w:lang w:eastAsia="lt-LT"/>
        </w:rPr>
        <w:t xml:space="preserve">skiriu </w:t>
      </w:r>
      <w:r>
        <w:rPr>
          <w:rFonts w:hint="default" w:eastAsia="Calibri"/>
          <w:szCs w:val="24"/>
          <w:lang w:val="en-US" w:eastAsia="lt-LT"/>
        </w:rPr>
        <w:t>Ireną Pozniak</w:t>
      </w:r>
      <w:r>
        <w:rPr>
          <w:rFonts w:eastAsia="Calibri"/>
          <w:szCs w:val="24"/>
          <w:lang w:eastAsia="lt-LT"/>
        </w:rPr>
        <w:t xml:space="preserve"> atsakingą už </w:t>
      </w:r>
      <w:r>
        <w:rPr>
          <w:bCs/>
          <w:szCs w:val="24"/>
          <w:lang w:eastAsia="lt-LT"/>
        </w:rPr>
        <w:t>Teisėto darbo su vaikais kodo tikrinimo tvarkos aprašo reikalavimų įgyvendinimą (toliau – atsakingas asmuo);</w:t>
      </w:r>
      <w:r>
        <w:rPr>
          <w:rFonts w:eastAsia="Calibri"/>
          <w:szCs w:val="24"/>
          <w:lang w:eastAsia="lt-LT"/>
        </w:rPr>
        <w:t xml:space="preserve"> </w:t>
      </w:r>
    </w:p>
    <w:p w14:paraId="6EC4CF35">
      <w:pPr>
        <w:numPr>
          <w:ilvl w:val="0"/>
          <w:numId w:val="1"/>
        </w:numPr>
        <w:ind w:left="0" w:firstLine="851"/>
        <w:contextualSpacing/>
        <w:jc w:val="both"/>
        <w:rPr>
          <w:rFonts w:eastAsia="Calibri"/>
          <w:szCs w:val="24"/>
          <w:lang w:eastAsia="lt-LT"/>
        </w:rPr>
      </w:pPr>
      <w:r>
        <w:rPr>
          <w:rFonts w:hint="default" w:eastAsia="Calibri"/>
          <w:szCs w:val="24"/>
          <w:lang w:val="en-US" w:eastAsia="lt-LT"/>
        </w:rPr>
        <w:t>pavedu Irenai Pozniak</w:t>
      </w:r>
      <w:r>
        <w:rPr>
          <w:rFonts w:eastAsia="Calibri"/>
          <w:szCs w:val="24"/>
          <w:lang w:eastAsia="lt-LT"/>
        </w:rPr>
        <w:t xml:space="preserve"> su šiuo įsakymu supažindinti įstaigos darbuotojus;</w:t>
      </w:r>
    </w:p>
    <w:p w14:paraId="465CB8BE">
      <w:pPr>
        <w:numPr>
          <w:ilvl w:val="0"/>
          <w:numId w:val="1"/>
        </w:numPr>
        <w:ind w:left="0" w:firstLine="851"/>
        <w:contextualSpacing/>
        <w:jc w:val="both"/>
        <w:rPr>
          <w:rFonts w:hint="default"/>
          <w:szCs w:val="24"/>
          <w:lang w:val="en-US" w:eastAsia="lt-LT"/>
        </w:rPr>
      </w:pPr>
      <w:r>
        <w:rPr>
          <w:bCs/>
          <w:szCs w:val="24"/>
          <w:lang w:eastAsia="lt-LT"/>
        </w:rPr>
        <w:t>nustatau, jog QR kodo galiojimo pakartotinis patikrinimas turi būti atliktas iki 2025 m. rugsėjo 1 d;</w:t>
      </w:r>
    </w:p>
    <w:p w14:paraId="79238ACB">
      <w:pPr>
        <w:numPr>
          <w:ilvl w:val="0"/>
          <w:numId w:val="1"/>
        </w:numPr>
        <w:ind w:left="0" w:firstLine="851"/>
        <w:contextualSpacing/>
        <w:jc w:val="both"/>
        <w:rPr>
          <w:rFonts w:hint="default"/>
          <w:szCs w:val="24"/>
          <w:lang w:val="en-US" w:eastAsia="lt-LT"/>
        </w:rPr>
      </w:pPr>
      <w:r>
        <w:rPr>
          <w:bCs/>
          <w:szCs w:val="24"/>
          <w:lang w:eastAsia="lt-LT"/>
        </w:rPr>
        <w:t>pripažįstu netekusiu galios Teisėto darbo su vaikais kodo tikrinimo tvarkos aprašą, patvirtintą</w:t>
      </w:r>
      <w:r>
        <w:rPr>
          <w:rFonts w:hint="default"/>
          <w:bCs/>
          <w:szCs w:val="24"/>
          <w:lang w:val="en-US" w:eastAsia="lt-LT"/>
        </w:rPr>
        <w:t xml:space="preserve"> </w:t>
      </w:r>
      <w:r>
        <w:rPr>
          <w:szCs w:val="24"/>
          <w:lang w:eastAsia="lt-LT"/>
        </w:rPr>
        <w:t>202</w:t>
      </w:r>
      <w:r>
        <w:rPr>
          <w:rFonts w:hint="default"/>
          <w:szCs w:val="24"/>
          <w:lang w:val="en-US" w:eastAsia="lt-LT"/>
        </w:rPr>
        <w:t>4</w:t>
      </w:r>
      <w:r>
        <w:rPr>
          <w:szCs w:val="24"/>
          <w:lang w:eastAsia="lt-LT"/>
        </w:rPr>
        <w:t xml:space="preserve"> m. </w:t>
      </w:r>
      <w:r>
        <w:rPr>
          <w:rFonts w:hint="default"/>
          <w:szCs w:val="24"/>
          <w:lang w:val="en-US" w:eastAsia="lt-LT"/>
        </w:rPr>
        <w:t>gruodžio 30</w:t>
      </w:r>
      <w:r>
        <w:rPr>
          <w:szCs w:val="24"/>
          <w:lang w:eastAsia="lt-LT"/>
        </w:rPr>
        <w:t xml:space="preserve"> d. Nr.</w:t>
      </w:r>
      <w:r>
        <w:rPr>
          <w:rFonts w:hint="default"/>
          <w:szCs w:val="24"/>
          <w:lang w:val="en-US" w:eastAsia="lt-LT"/>
        </w:rPr>
        <w:t xml:space="preserve"> V - 54.</w:t>
      </w:r>
    </w:p>
    <w:p w14:paraId="557CB543">
      <w:pPr>
        <w:numPr>
          <w:numId w:val="0"/>
        </w:numPr>
        <w:ind w:left="851" w:leftChars="0"/>
        <w:contextualSpacing/>
        <w:jc w:val="both"/>
        <w:rPr>
          <w:szCs w:val="24"/>
          <w:lang w:eastAsia="lt-LT"/>
        </w:rPr>
      </w:pPr>
    </w:p>
    <w:p w14:paraId="7B244140">
      <w:pPr>
        <w:jc w:val="both"/>
        <w:rPr>
          <w:szCs w:val="24"/>
          <w:lang w:eastAsia="lt-LT"/>
        </w:rPr>
      </w:pPr>
    </w:p>
    <w:p w14:paraId="24EA283F">
      <w:pPr>
        <w:jc w:val="both"/>
        <w:rPr>
          <w:szCs w:val="24"/>
          <w:lang w:eastAsia="lt-LT"/>
        </w:rPr>
      </w:pPr>
    </w:p>
    <w:p w14:paraId="6B26828A">
      <w:pPr>
        <w:jc w:val="both"/>
        <w:rPr>
          <w:szCs w:val="24"/>
          <w:lang w:eastAsia="lt-LT"/>
        </w:rPr>
      </w:pPr>
    </w:p>
    <w:p w14:paraId="4B076052">
      <w:pPr>
        <w:numPr>
          <w:ilvl w:val="0"/>
          <w:numId w:val="0"/>
        </w:numPr>
        <w:spacing w:after="0" w:line="240" w:lineRule="auto"/>
        <w:contextualSpacing/>
        <w:jc w:val="both"/>
        <w:rPr>
          <w:bCs/>
          <w:szCs w:val="24"/>
          <w:lang w:eastAsia="lt-LT"/>
        </w:rPr>
      </w:pPr>
    </w:p>
    <w:p w14:paraId="6A18FD61">
      <w:pPr>
        <w:numPr>
          <w:ilvl w:val="0"/>
          <w:numId w:val="2"/>
        </w:numPr>
        <w:spacing w:after="0" w:line="240" w:lineRule="auto"/>
        <w:ind w:left="660" w:leftChars="0" w:firstLine="0" w:firstLineChars="0"/>
        <w:contextualSpacing/>
        <w:jc w:val="both"/>
        <w:rPr>
          <w:rFonts w:hint="default"/>
          <w:bCs/>
          <w:szCs w:val="24"/>
          <w:lang w:val="en-US" w:eastAsia="lt-LT"/>
        </w:rPr>
      </w:pPr>
      <w:r>
        <w:rPr>
          <w:rFonts w:hint="default"/>
          <w:bCs/>
          <w:szCs w:val="24"/>
          <w:lang w:val="en-US" w:eastAsia="lt-LT"/>
        </w:rPr>
        <w:t>a. p. direktoriaus                                                                         Irena Voicinovič</w:t>
      </w:r>
    </w:p>
    <w:p w14:paraId="43DB5C80">
      <w:pPr>
        <w:jc w:val="both"/>
        <w:rPr>
          <w:szCs w:val="24"/>
          <w:lang w:eastAsia="lt-LT"/>
        </w:rPr>
      </w:pPr>
    </w:p>
    <w:p w14:paraId="38E83EA5">
      <w:pPr>
        <w:jc w:val="both"/>
        <w:rPr>
          <w:szCs w:val="24"/>
          <w:lang w:eastAsia="lt-LT"/>
        </w:rPr>
      </w:pPr>
    </w:p>
    <w:p w14:paraId="40B8064D">
      <w:pPr>
        <w:tabs>
          <w:tab w:val="left" w:pos="567"/>
        </w:tabs>
        <w:autoSpaceDE w:val="0"/>
        <w:autoSpaceDN w:val="0"/>
        <w:adjustRightInd w:val="0"/>
        <w:rPr>
          <w:color w:val="000000"/>
          <w:szCs w:val="24"/>
        </w:rPr>
      </w:pPr>
    </w:p>
    <w:p w14:paraId="14A71DFE">
      <w:pPr>
        <w:spacing w:after="160" w:line="259" w:lineRule="auto"/>
        <w:rPr>
          <w:lang w:eastAsia="lt-LT"/>
        </w:rPr>
      </w:pPr>
      <w:r>
        <w:rPr>
          <w:lang w:eastAsia="lt-LT"/>
        </w:rPr>
        <w:br w:type="page"/>
      </w:r>
    </w:p>
    <w:p w14:paraId="3BACC191">
      <w:pPr>
        <w:keepNext/>
        <w:shd w:val="clear" w:color="auto" w:fill="FFFFFF"/>
        <w:tabs>
          <w:tab w:val="center" w:pos="6803"/>
          <w:tab w:val="right" w:pos="9638"/>
        </w:tabs>
        <w:suppressAutoHyphens/>
        <w:ind w:firstLine="6120" w:firstLineChars="2550"/>
        <w:textAlignment w:val="baseline"/>
        <w:rPr>
          <w:lang w:eastAsia="lt-LT"/>
        </w:rPr>
      </w:pPr>
      <w:r>
        <w:rPr>
          <w:lang w:eastAsia="lt-LT"/>
        </w:rPr>
        <w:t>PATVIRTINTA</w:t>
      </w:r>
    </w:p>
    <w:p w14:paraId="140422E5">
      <w:pPr>
        <w:ind w:firstLine="5040" w:firstLineChars="2100"/>
        <w:rPr>
          <w:rFonts w:hint="default"/>
          <w:highlight w:val="none"/>
          <w:shd w:val="clear" w:color="FFFFFF" w:fill="D9D9D9"/>
          <w:lang w:val="en-US" w:eastAsia="lt-LT"/>
        </w:rPr>
      </w:pPr>
      <w:r>
        <w:rPr>
          <w:highlight w:val="none"/>
          <w:shd w:val="clear" w:color="FFFFFF" w:fill="D9D9D9"/>
          <w:lang w:eastAsia="lt-LT"/>
        </w:rPr>
        <w:t>Š</w:t>
      </w:r>
      <w:r>
        <w:rPr>
          <w:rFonts w:hint="default"/>
          <w:highlight w:val="none"/>
          <w:shd w:val="clear" w:color="FFFFFF" w:fill="D9D9D9"/>
          <w:lang w:val="en-US" w:eastAsia="lt-LT"/>
        </w:rPr>
        <w:t xml:space="preserve">alčininkų r. Jašiūnų lopšelio-darželio “Žilvitis” </w:t>
      </w:r>
    </w:p>
    <w:p w14:paraId="65289000">
      <w:pPr>
        <w:ind w:firstLine="5040" w:firstLineChars="2100"/>
        <w:rPr>
          <w:rFonts w:hint="default"/>
          <w:szCs w:val="24"/>
          <w:highlight w:val="none"/>
          <w:shd w:val="clear" w:color="FFFFFF" w:fill="D9D9D9"/>
          <w:lang w:val="en-US" w:eastAsia="lt-LT"/>
        </w:rPr>
      </w:pPr>
      <w:r>
        <w:rPr>
          <w:szCs w:val="24"/>
          <w:highlight w:val="none"/>
          <w:shd w:val="clear" w:color="FFFFFF" w:fill="D9D9D9"/>
          <w:lang w:eastAsia="lt-LT"/>
        </w:rPr>
        <w:t>2025 m.</w:t>
      </w:r>
      <w:r>
        <w:rPr>
          <w:rFonts w:hint="default"/>
          <w:szCs w:val="24"/>
          <w:highlight w:val="none"/>
          <w:shd w:val="clear" w:color="FFFFFF" w:fill="D9D9D9"/>
          <w:lang w:val="en-US" w:eastAsia="lt-LT"/>
        </w:rPr>
        <w:t xml:space="preserve"> rugpjūčio 1</w:t>
      </w:r>
      <w:r>
        <w:rPr>
          <w:szCs w:val="24"/>
          <w:highlight w:val="none"/>
          <w:shd w:val="clear" w:color="FFFFFF" w:fill="D9D9D9"/>
          <w:lang w:eastAsia="lt-LT"/>
        </w:rPr>
        <w:t xml:space="preserve"> d.</w:t>
      </w:r>
      <w:r>
        <w:rPr>
          <w:rFonts w:hint="default"/>
          <w:szCs w:val="24"/>
          <w:highlight w:val="none"/>
          <w:shd w:val="clear" w:color="FFFFFF" w:fill="D9D9D9"/>
          <w:lang w:val="en-US" w:eastAsia="lt-LT"/>
        </w:rPr>
        <w:t xml:space="preserve"> </w:t>
      </w:r>
    </w:p>
    <w:p w14:paraId="5D6B1E2F">
      <w:pPr>
        <w:ind w:firstLine="5040" w:firstLineChars="2100"/>
        <w:rPr>
          <w:rFonts w:hint="default"/>
          <w:szCs w:val="24"/>
          <w:highlight w:val="none"/>
          <w:shd w:val="clear" w:color="FFFFFF" w:fill="D9D9D9"/>
          <w:lang w:val="en-US" w:eastAsia="lt-LT"/>
        </w:rPr>
      </w:pPr>
      <w:r>
        <w:rPr>
          <w:rFonts w:hint="default"/>
          <w:szCs w:val="24"/>
          <w:highlight w:val="none"/>
          <w:shd w:val="clear" w:color="FFFFFF" w:fill="D9D9D9"/>
          <w:lang w:val="en-US" w:eastAsia="lt-LT"/>
        </w:rPr>
        <w:t xml:space="preserve">direktoriaus įsakymu </w:t>
      </w:r>
      <w:r>
        <w:rPr>
          <w:szCs w:val="24"/>
          <w:highlight w:val="none"/>
          <w:shd w:val="clear" w:color="FFFFFF" w:fill="D9D9D9"/>
          <w:lang w:eastAsia="lt-LT"/>
        </w:rPr>
        <w:t>Nr.</w:t>
      </w:r>
      <w:r>
        <w:rPr>
          <w:rFonts w:hint="default"/>
          <w:szCs w:val="24"/>
          <w:highlight w:val="none"/>
          <w:shd w:val="clear" w:color="FFFFFF" w:fill="D9D9D9"/>
          <w:lang w:val="en-US" w:eastAsia="lt-LT"/>
        </w:rPr>
        <w:t xml:space="preserve"> V - 34</w:t>
      </w:r>
    </w:p>
    <w:p w14:paraId="6D8A98B6">
      <w:pPr>
        <w:keepNext/>
        <w:shd w:val="clear" w:color="auto" w:fill="FFFFFF"/>
        <w:tabs>
          <w:tab w:val="center" w:pos="6803"/>
          <w:tab w:val="right" w:pos="9638"/>
        </w:tabs>
        <w:suppressAutoHyphens/>
        <w:textAlignment w:val="baseline"/>
        <w:rPr>
          <w:highlight w:val="none"/>
          <w:shd w:val="clear" w:color="FFFFFF" w:fill="D9D9D9"/>
          <w:lang w:eastAsia="lt-LT"/>
        </w:rPr>
      </w:pPr>
    </w:p>
    <w:p w14:paraId="7911716E">
      <w:pPr>
        <w:keepNext/>
        <w:shd w:val="clear" w:color="auto" w:fill="FFFFFF"/>
        <w:tabs>
          <w:tab w:val="center" w:pos="6803"/>
          <w:tab w:val="right" w:pos="9638"/>
        </w:tabs>
        <w:suppressAutoHyphens/>
        <w:ind w:left="6237"/>
        <w:textAlignment w:val="baseline"/>
        <w:rPr>
          <w:lang w:eastAsia="lt-LT"/>
        </w:rPr>
      </w:pPr>
    </w:p>
    <w:bookmarkEnd w:id="0"/>
    <w:p w14:paraId="40FE76DD">
      <w:pPr>
        <w:keepNext/>
        <w:widowControl w:val="0"/>
        <w:shd w:val="clear" w:color="auto" w:fill="FFFFFF"/>
        <w:suppressAutoHyphens/>
        <w:jc w:val="center"/>
        <w:textAlignment w:val="baseline"/>
        <w:rPr>
          <w:b/>
          <w:caps/>
          <w:lang w:eastAsia="lt-LT"/>
        </w:rPr>
      </w:pPr>
    </w:p>
    <w:p w14:paraId="5FEE4B9E">
      <w:pPr>
        <w:keepNext/>
        <w:widowControl w:val="0"/>
        <w:shd w:val="clear" w:color="auto" w:fill="FFFFFF"/>
        <w:tabs>
          <w:tab w:val="left" w:pos="1778"/>
        </w:tabs>
        <w:suppressAutoHyphens/>
        <w:ind w:firstLine="851"/>
        <w:jc w:val="center"/>
        <w:textAlignment w:val="baseline"/>
        <w:rPr>
          <w:rFonts w:eastAsia="Tahoma" w:cs="Tahoma"/>
          <w:b/>
          <w:caps/>
          <w:lang w:eastAsia="lt-LT"/>
        </w:rPr>
      </w:pPr>
    </w:p>
    <w:p w14:paraId="68023F93">
      <w:pPr>
        <w:keepNext/>
        <w:widowControl w:val="0"/>
        <w:shd w:val="clear" w:color="auto" w:fill="FFFFFF"/>
        <w:suppressAutoHyphens/>
        <w:jc w:val="center"/>
        <w:textAlignment w:val="baseline"/>
        <w:rPr>
          <w:b/>
          <w:caps/>
          <w:lang w:eastAsia="lt-LT"/>
        </w:rPr>
      </w:pPr>
      <w:r>
        <w:rPr>
          <w:b/>
          <w:caps/>
          <w:lang w:eastAsia="lt-LT"/>
        </w:rPr>
        <w:t>TEISĖTO DARBO SU VAIKAIS KODO TIKRINIMO TVARKOS APRAŠAS</w:t>
      </w:r>
    </w:p>
    <w:p w14:paraId="77D5CB89">
      <w:pPr>
        <w:keepNext/>
        <w:widowControl w:val="0"/>
        <w:shd w:val="clear" w:color="auto" w:fill="FFFFFF"/>
        <w:suppressAutoHyphens/>
        <w:jc w:val="center"/>
        <w:textAlignment w:val="baseline"/>
        <w:rPr>
          <w:b/>
          <w:caps/>
          <w:lang w:eastAsia="lt-LT"/>
        </w:rPr>
      </w:pPr>
    </w:p>
    <w:p w14:paraId="3E2F67C5">
      <w:pPr>
        <w:keepNext/>
        <w:widowControl w:val="0"/>
        <w:shd w:val="clear" w:color="auto" w:fill="FFFFFF"/>
        <w:suppressAutoHyphens/>
        <w:jc w:val="center"/>
        <w:textAlignment w:val="baseline"/>
        <w:rPr>
          <w:b/>
          <w:caps/>
          <w:lang w:eastAsia="lt-LT"/>
        </w:rPr>
      </w:pPr>
    </w:p>
    <w:p w14:paraId="3650506A">
      <w:pPr>
        <w:keepNext/>
        <w:widowControl w:val="0"/>
        <w:shd w:val="clear" w:color="auto" w:fill="FFFFFF"/>
        <w:suppressAutoHyphens/>
        <w:jc w:val="center"/>
        <w:textAlignment w:val="baseline"/>
        <w:rPr>
          <w:b/>
          <w:caps/>
          <w:lang w:eastAsia="lt-LT"/>
        </w:rPr>
      </w:pPr>
      <w:r>
        <w:rPr>
          <w:b/>
          <w:caps/>
          <w:lang w:eastAsia="lt-LT"/>
        </w:rPr>
        <w:t>I SKYRIUS</w:t>
      </w:r>
    </w:p>
    <w:p w14:paraId="246629DA">
      <w:pPr>
        <w:jc w:val="center"/>
        <w:rPr>
          <w:b/>
          <w:caps/>
          <w:lang w:eastAsia="lt-LT"/>
        </w:rPr>
      </w:pPr>
      <w:r>
        <w:rPr>
          <w:b/>
          <w:caps/>
          <w:lang w:eastAsia="lt-LT"/>
        </w:rPr>
        <w:t>Bendrosios nuostatos</w:t>
      </w:r>
    </w:p>
    <w:p w14:paraId="23FC6A9F">
      <w:pPr>
        <w:jc w:val="center"/>
        <w:rPr>
          <w:b/>
          <w:caps/>
          <w:lang w:eastAsia="lt-LT"/>
        </w:rPr>
      </w:pPr>
    </w:p>
    <w:p w14:paraId="10BF0B94">
      <w:pPr>
        <w:pStyle w:val="11"/>
        <w:numPr>
          <w:ilvl w:val="0"/>
          <w:numId w:val="3"/>
        </w:numPr>
        <w:ind w:left="0" w:firstLine="0"/>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Teisėto darbo su vaikais kodo tikrinimo tvarkos aprašas (toliau – Tvarkos aprašas) nustato Š</w:t>
      </w:r>
      <w:r>
        <w:rPr>
          <w:rFonts w:hint="default" w:ascii="Times New Roman" w:hAnsi="Times New Roman" w:cs="Times New Roman"/>
          <w:bCs/>
          <w:sz w:val="24"/>
          <w:szCs w:val="24"/>
          <w:lang w:val="en-US" w:eastAsia="lt-LT"/>
        </w:rPr>
        <w:t xml:space="preserve">alčininkų r. Jašiūnų lopšelio-darželio “Žilvitis” </w:t>
      </w:r>
      <w:bookmarkStart w:id="3" w:name="_GoBack"/>
      <w:bookmarkEnd w:id="3"/>
      <w:r>
        <w:rPr>
          <w:rFonts w:ascii="Times New Roman" w:hAnsi="Times New Roman" w:cs="Times New Roman"/>
          <w:bCs/>
          <w:sz w:val="24"/>
          <w:szCs w:val="24"/>
          <w:lang w:eastAsia="lt-LT"/>
        </w:rPr>
        <w:t>(toliau – įstaiga) teisėto darbo su vaikais kodo tikrinimo tvarką.</w:t>
      </w:r>
    </w:p>
    <w:p w14:paraId="52D7ED2F">
      <w:pPr>
        <w:pStyle w:val="11"/>
        <w:numPr>
          <w:ilvl w:val="0"/>
          <w:numId w:val="3"/>
        </w:numPr>
        <w:ind w:left="0" w:firstLine="0"/>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Tvarkos aprašo tikslas – užtikrinti tinkamą teisės aktų įgyvendinimą tikrinant teisėto darbo su vaikais kodą (toliau – QR kodas).</w:t>
      </w:r>
    </w:p>
    <w:p w14:paraId="1C250456">
      <w:pPr>
        <w:pStyle w:val="11"/>
        <w:numPr>
          <w:ilvl w:val="0"/>
          <w:numId w:val="3"/>
        </w:numPr>
        <w:ind w:left="0" w:firstLine="0"/>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Tvarkos aprašas parengtas ir vartojamos sąvokos atitinka Lietuvos Respublikos vaiko teisių apsaugos pagrindų įstatyme (toliau – Įstatymas)  ir Teisėto darbo su vaikais kodo išdavimo ir naudojimo tvarkos apraše, patvirtintame Informatikos ir ryšių departamento prie Lietuvos Respublikos vidaus reikalų ministerijos direktoriaus 2024 m. spalio 31 d. įsakyme Nr. 5V-123 „Dėl Teisėto darbo su vaikais kodo išdavimo ir naudojimo tvarkos aprašo ir Teisėto darbo su vaikais kodo atvaizdavimo formos patvirtinimo“, įtvirtintas sąvokas.</w:t>
      </w:r>
    </w:p>
    <w:p w14:paraId="35F6867B">
      <w:pPr>
        <w:pStyle w:val="11"/>
        <w:numPr>
          <w:ilvl w:val="0"/>
          <w:numId w:val="3"/>
        </w:numPr>
        <w:ind w:left="0" w:firstLine="0"/>
        <w:jc w:val="both"/>
        <w:rPr>
          <w:rFonts w:ascii="Times New Roman" w:hAnsi="Times New Roman" w:cs="Times New Roman"/>
          <w:bCs/>
          <w:sz w:val="24"/>
          <w:szCs w:val="24"/>
          <w:lang w:eastAsia="lt-LT"/>
        </w:rPr>
      </w:pPr>
      <w:bookmarkStart w:id="1" w:name="_Hlk186457307"/>
      <w:r>
        <w:rPr>
          <w:rFonts w:ascii="Times New Roman" w:hAnsi="Times New Roman" w:cs="Times New Roman"/>
          <w:bCs/>
          <w:sz w:val="24"/>
          <w:szCs w:val="24"/>
          <w:lang w:eastAsia="lt-LT"/>
        </w:rPr>
        <w:t xml:space="preserve">QR kodus turi turėti </w:t>
      </w:r>
      <w:bookmarkEnd w:id="1"/>
      <w:r>
        <w:rPr>
          <w:rFonts w:ascii="Times New Roman" w:hAnsi="Times New Roman" w:cs="Times New Roman"/>
          <w:bCs/>
          <w:sz w:val="24"/>
          <w:szCs w:val="24"/>
          <w:lang w:eastAsia="lt-LT"/>
        </w:rPr>
        <w:t xml:space="preserve">visi įstaigos darbuotojai (įskaitant ir techninį personalą), savanoriai, praktikantai ir stažuotojai bei atitikti Įstatymo 30 straipsnio 1 dalies reikalavimus. </w:t>
      </w:r>
    </w:p>
    <w:p w14:paraId="34589AA3">
      <w:pPr>
        <w:jc w:val="center"/>
        <w:rPr>
          <w:b/>
          <w:caps/>
          <w:lang w:eastAsia="lt-LT"/>
        </w:rPr>
      </w:pPr>
    </w:p>
    <w:p w14:paraId="7C3C6A7A">
      <w:pPr>
        <w:spacing w:line="276" w:lineRule="auto"/>
        <w:jc w:val="center"/>
        <w:rPr>
          <w:b/>
          <w:bCs/>
        </w:rPr>
      </w:pPr>
      <w:r>
        <w:rPr>
          <w:b/>
          <w:bCs/>
        </w:rPr>
        <w:t xml:space="preserve">II SKYRIUS </w:t>
      </w:r>
    </w:p>
    <w:p w14:paraId="505BB2F9">
      <w:pPr>
        <w:spacing w:line="276" w:lineRule="auto"/>
        <w:jc w:val="center"/>
        <w:rPr>
          <w:b/>
          <w:bCs/>
        </w:rPr>
      </w:pPr>
      <w:r>
        <w:rPr>
          <w:b/>
          <w:bCs/>
        </w:rPr>
        <w:t>QR KODŲ TIKRINIMO TVARKA</w:t>
      </w:r>
    </w:p>
    <w:p w14:paraId="64BC1E7C">
      <w:pPr>
        <w:spacing w:line="276" w:lineRule="auto"/>
        <w:jc w:val="center"/>
        <w:rPr>
          <w:b/>
          <w:bCs/>
        </w:rPr>
      </w:pPr>
    </w:p>
    <w:p w14:paraId="0BF12ADE">
      <w:pPr>
        <w:pStyle w:val="11"/>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QR kodas tikrinamas nuskaitant konkretų QR kodą arba per Elektroninius valdžios vartus ir prisijungus prie Informatikos ir ryšių departamento elektroninių paslaugų portalo (toliau – Portalas) adresu </w:t>
      </w:r>
      <w:r>
        <w:fldChar w:fldCharType="begin"/>
      </w:r>
      <w:r>
        <w:instrText xml:space="preserve"> HYPERLINK "https://epaslaugos.ird.lt" </w:instrText>
      </w:r>
      <w:r>
        <w:fldChar w:fldCharType="separate"/>
      </w:r>
      <w:r>
        <w:rPr>
          <w:rStyle w:val="9"/>
          <w:rFonts w:ascii="Times New Roman" w:hAnsi="Times New Roman" w:cs="Times New Roman"/>
          <w:sz w:val="24"/>
          <w:szCs w:val="24"/>
        </w:rPr>
        <w:t>https://epaslaugos.ird.lt</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p w14:paraId="207AE7F3">
      <w:pPr>
        <w:pStyle w:val="11"/>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Naujai priimamų darbuotojų QR kodas tikrinamas nuskaitant konkretų QR kodą arba Portale suvedant asmens duomenis (vardą (-us), pavardę (-es), asmens kodą, gimimo datą (kai asmeniui nesuteiktas asmens kodas), pilietybę (kai asmeniui nesuteiktas asmens kodas)) ne vėliau kaip prieš sudarant darbo sutartį. </w:t>
      </w:r>
    </w:p>
    <w:p w14:paraId="3485F8B2">
      <w:pPr>
        <w:pStyle w:val="11"/>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Kitų asmenų (siekiančių atlikti praktiką, stažuotis, savanoriauti ir kitų numatytų Įstatymo 30 straipsnio 1 dalyje) QR kodas tikrinamas Portale suvedant asmens duomenis (vardą (-us), pavardę (-es), asmens kodą, gimimo datą (kai asmeniui nesuteiktas asmens kodas), pilietybę (kai asmeniui nesuteiktas asmens kodas)) arba nuskaitant konkretų QR kodą ne vėliau kaip prieš sudarant atitinkamą sutartį su juo.</w:t>
      </w:r>
    </w:p>
    <w:p w14:paraId="6D1EABA8">
      <w:pPr>
        <w:pStyle w:val="11"/>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Atsakingas asmuo privalo QR kodus tikrinti periodiškai, bet ne rečiau kaip kartą per kalendorinius metus (paprastai prieš prasidedant mokslo metams).</w:t>
      </w:r>
    </w:p>
    <w:p w14:paraId="20AD4923">
      <w:pPr>
        <w:pStyle w:val="11"/>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8"/>
        </w:rPr>
        <w:t>Organizuojant paslaugų pirkimą, pirkimo dokumentuose bei paslaugų teikimo sutartyje įprastai numatomas reikalavimas, kad paslaugas teikiančios įmonės darbuotojai (kurie teiks paslaugas įstaigai) arba fizinis asmuo, kuris vykdo individualią veiklą, privalo atitikti Įstatymo 30 straipsnyje nustatytus reikalavimus.</w:t>
      </w:r>
    </w:p>
    <w:p w14:paraId="2C4F6F20">
      <w:pPr>
        <w:pStyle w:val="11"/>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Vadovas arba atsakingas asmuo prieš sudarydamas sutartį su fiziniu asmeniu dėl paslaugų teikimo įstaigai, QR kodą turi patikrinti Portale suvesdamas asmens duomenis (vardą (-us), pavardę (-es), asmens kodą, gimimo datą (kai asmeniui nesuteiktas asmens kodas), pilietybę (kai asmeniui nesuteiktas asmens kodas)) arba nuskaitydamas konkretų QR kodą.</w:t>
      </w:r>
    </w:p>
    <w:p w14:paraId="3B72F3BD">
      <w:pPr>
        <w:pStyle w:val="11"/>
        <w:numPr>
          <w:ilvl w:val="0"/>
          <w:numId w:val="3"/>
        </w:numPr>
        <w:ind w:left="0" w:firstLine="0"/>
        <w:jc w:val="both"/>
        <w:rPr>
          <w:rFonts w:ascii="Times New Roman" w:hAnsi="Times New Roman" w:cs="Times New Roman"/>
          <w:sz w:val="24"/>
          <w:szCs w:val="28"/>
        </w:rPr>
      </w:pPr>
      <w:r>
        <w:rPr>
          <w:rFonts w:ascii="Times New Roman" w:hAnsi="Times New Roman" w:cs="Times New Roman"/>
          <w:sz w:val="24"/>
          <w:szCs w:val="28"/>
        </w:rPr>
        <w:t xml:space="preserve">Sudarant paslaugų teikimo sutartį su juridiniu asmeniu už šių reikalavimų įgyvendinimą yra atsakingas paslaugas teikiančios įmonės vadovas. Atsakingas darbuotojas papildomai neprašo pateikti ir netikrina paslaugas teikiančios įmonės darbuotojų atitikties Įstatymo 30 straipsnio reikalavimams. </w:t>
      </w:r>
    </w:p>
    <w:p w14:paraId="5CEA8A98">
      <w:pPr>
        <w:pStyle w:val="11"/>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Tais atvejais, kai įstaiga sudaro kitokio pobūdžio sutartis (pavyzdžiui, turto nuomos) arba paslaugų teikimo sutartis sudaroma tiesiogiai tarp vaiko (jo atstovo) ir paslaugų teikėjo, Įstaiga QR kodo pateikti neprašo ir jo galiojimo netikrina.</w:t>
      </w:r>
    </w:p>
    <w:p w14:paraId="5AEB6D8E">
      <w:pPr>
        <w:pStyle w:val="11"/>
        <w:numPr>
          <w:ilvl w:val="0"/>
          <w:numId w:val="3"/>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Užsieniečiai, kuriems suteiktas QR kodas, kartu su QR kodu turi pateikti Įstatymo 30 straipsnio 5 dalyje nurodytą dokumentą, patvirtinantį, kad jis nėra teistas už nusikalstamas veikas, nurodytas Įstatymo 30 straipsnio 1 dalyje, išduotą užsienio valstybės, kurios pilietybę jis turi arba kurioje yra jo nuolatinė gyvenamoji vieta, kompetentingų institucijų.</w:t>
      </w:r>
    </w:p>
    <w:p w14:paraId="3304BF3A">
      <w:pPr>
        <w:pStyle w:val="11"/>
        <w:numPr>
          <w:ilvl w:val="0"/>
          <w:numId w:val="3"/>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Jeigu priimant asmenį į darbą, leidžiant jam atlikti praktiką, stažuotis, teikti paslaugas ar pasitelkiant savanorį jis neturi suformuoto teisėto darbo su vaikais kodo, dėl šio kodo išdavimo kreipiasi įstaiga. Jeigu asmuo, ketinantis verstis individualia veikla ar vykdyti bet kokią kitą veiklą, neturi suformuoto teisėto darbo su vaikais kodo, dėl šio kodo išdavimo kreipiasi pats asmuo.</w:t>
      </w:r>
    </w:p>
    <w:p w14:paraId="7099F21F">
      <w:pPr>
        <w:pStyle w:val="11"/>
        <w:numPr>
          <w:ilvl w:val="0"/>
          <w:numId w:val="3"/>
        </w:numPr>
        <w:tabs>
          <w:tab w:val="left" w:pos="142"/>
        </w:tabs>
        <w:ind w:left="0" w:firstLine="0"/>
        <w:jc w:val="both"/>
        <w:rPr>
          <w:rFonts w:ascii="Times New Roman" w:hAnsi="Times New Roman" w:cs="Times New Roman"/>
          <w:sz w:val="24"/>
          <w:szCs w:val="28"/>
        </w:rPr>
      </w:pPr>
      <w:r>
        <w:rPr>
          <w:rFonts w:ascii="Times New Roman" w:hAnsi="Times New Roman" w:cs="Times New Roman"/>
          <w:sz w:val="24"/>
          <w:szCs w:val="24"/>
        </w:rPr>
        <w:t>Tais atvejais, kai QR kodų galiojimas tikrinamas ne per Portalą, o skenuojant konkrečius QR kodus, QR kodo patikrinimas dokumentuojamas užpildant Teisėto darbo su vaikais kodo patikrinimo žurnalą (Priedas Nr. 1). Atvejais, kai QR kodų galiojimas tikrinamas per Portalą, Teisėto darbo su vaikais kodo patikrinimo žurnalas nėra pildomas.</w:t>
      </w:r>
    </w:p>
    <w:p w14:paraId="3842651A">
      <w:pPr>
        <w:spacing w:line="276" w:lineRule="auto"/>
        <w:jc w:val="center"/>
        <w:rPr>
          <w:b/>
          <w:bCs/>
        </w:rPr>
      </w:pPr>
      <w:r>
        <w:rPr>
          <w:b/>
          <w:bCs/>
        </w:rPr>
        <w:t xml:space="preserve">III SKYRIUS </w:t>
      </w:r>
    </w:p>
    <w:p w14:paraId="662D7561">
      <w:pPr>
        <w:spacing w:line="276" w:lineRule="auto"/>
        <w:jc w:val="center"/>
        <w:rPr>
          <w:b/>
          <w:bCs/>
        </w:rPr>
      </w:pPr>
      <w:r>
        <w:rPr>
          <w:b/>
          <w:bCs/>
        </w:rPr>
        <w:t>QR KODŲ NAUDOJIMO TVARKA</w:t>
      </w:r>
    </w:p>
    <w:p w14:paraId="37CB90F4">
      <w:pPr>
        <w:spacing w:line="276" w:lineRule="auto"/>
        <w:jc w:val="center"/>
        <w:rPr>
          <w:b/>
          <w:bCs/>
        </w:rPr>
      </w:pPr>
    </w:p>
    <w:p w14:paraId="1C59B35B">
      <w:pPr>
        <w:pStyle w:val="11"/>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Vaiko atstovai pagal įstatymą turi teisę paprašyti informuoti apie tai ar dirbantys, atliekantys praktiką, besistažuojantys, užsiimantys savanoriška veikla, pasitelkiami teikti paslaugas vaikams asmenys turi galiojantį QR kodą. Atsakingas asmuo pateikia tik informaciją, ar minėti asmenys turi QR kodą ar jo neturi. QR kodas vaiko atstovams pagal įstatymą nėra pateikiamas.</w:t>
      </w:r>
    </w:p>
    <w:p w14:paraId="3E56E1C2">
      <w:pPr>
        <w:pStyle w:val="11"/>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Vaiko atstovai pagal įstatymą asmenų, nurodytų Įstatymo 30 straipsnio 1 dalies 3 punkte, besiverčiančių individualia veikla, teikiančių paslaugas jų vaikams, ar vykdančių bet kokią kitą veiklą, turi tiesiogiai prašyti pateikti teisėto darbo su vaikais kodą.</w:t>
      </w:r>
    </w:p>
    <w:p w14:paraId="447CBFB1">
      <w:pPr>
        <w:pStyle w:val="11"/>
        <w:numPr>
          <w:ilvl w:val="0"/>
          <w:numId w:val="3"/>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Atsakingas asmuo, gavęs informaciją apie QR kodo būsenos pasikeitimus (atliekant periodiškus patikrinimus arba gavus automatinį pranešimą) nedelsiant informuoja vadovą, kuris sprendžia dėl Įstatymo 30 straipsnio 9 dalies taikymo.</w:t>
      </w:r>
    </w:p>
    <w:p w14:paraId="63B500BB">
      <w:pPr>
        <w:pStyle w:val="11"/>
        <w:numPr>
          <w:ilvl w:val="0"/>
          <w:numId w:val="3"/>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Atsakingas asmuo Įstatymo 30 straipsnyje nustatyta tvarka gautos informacijos apie asmenį negali perduoti tretiesiems asmenims, išskyrus Lietuvos Respublikos įstatymų nustatytus atvejus.</w:t>
      </w:r>
    </w:p>
    <w:p w14:paraId="01555271">
      <w:pPr>
        <w:keepNext/>
        <w:widowControl w:val="0"/>
        <w:shd w:val="clear" w:color="auto" w:fill="FFFFFF"/>
        <w:suppressAutoHyphens/>
        <w:jc w:val="center"/>
        <w:textAlignment w:val="baseline"/>
        <w:rPr>
          <w:b/>
          <w:caps/>
          <w:lang w:eastAsia="lt-LT"/>
        </w:rPr>
      </w:pPr>
    </w:p>
    <w:p w14:paraId="0EFFE1F0">
      <w:pPr>
        <w:keepNext/>
        <w:widowControl w:val="0"/>
        <w:shd w:val="clear" w:color="auto" w:fill="FFFFFF"/>
        <w:suppressAutoHyphens/>
        <w:jc w:val="center"/>
        <w:textAlignment w:val="baseline"/>
        <w:rPr>
          <w:b/>
          <w:caps/>
          <w:lang w:eastAsia="lt-LT"/>
        </w:rPr>
      </w:pPr>
      <w:r>
        <w:rPr>
          <w:b/>
          <w:caps/>
          <w:lang w:eastAsia="lt-LT"/>
        </w:rPr>
        <w:t>IV skyrius</w:t>
      </w:r>
    </w:p>
    <w:p w14:paraId="098B5F93">
      <w:pPr>
        <w:keepNext/>
        <w:widowControl w:val="0"/>
        <w:shd w:val="clear" w:color="auto" w:fill="FFFFFF"/>
        <w:suppressAutoHyphens/>
        <w:jc w:val="center"/>
        <w:textAlignment w:val="baseline"/>
        <w:rPr>
          <w:b/>
          <w:caps/>
          <w:lang w:eastAsia="lt-LT"/>
        </w:rPr>
      </w:pPr>
      <w:r>
        <w:rPr>
          <w:b/>
          <w:caps/>
          <w:lang w:eastAsia="lt-LT"/>
        </w:rPr>
        <w:t>baigiamosios nuostatos</w:t>
      </w:r>
    </w:p>
    <w:p w14:paraId="4DD567E7">
      <w:pPr>
        <w:keepNext/>
        <w:widowControl w:val="0"/>
        <w:shd w:val="clear" w:color="auto" w:fill="FFFFFF"/>
        <w:suppressAutoHyphens/>
        <w:jc w:val="center"/>
        <w:textAlignment w:val="baseline"/>
        <w:rPr>
          <w:b/>
          <w:caps/>
          <w:lang w:eastAsia="lt-LT"/>
        </w:rPr>
      </w:pPr>
    </w:p>
    <w:p w14:paraId="4B896569">
      <w:pPr>
        <w:pStyle w:val="11"/>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Jeigu asmuo, kuriam išduotas QR kodas, pakeičia vardą ar pavardę, siekiant, kad formoje būtų pateikiami aktualūs asmens duomenys, jis gali atnaujinti suteiktą QR kodą.</w:t>
      </w:r>
    </w:p>
    <w:p w14:paraId="7464803A">
      <w:pPr>
        <w:pStyle w:val="11"/>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Šis Tvarkos aprašas atnaujinamas (peržiūrimas, keičiamas, papildomas, rengiamos naujas) ne rečiau kaip kartą per 2 metus arba pasikeitus teisės aktams.</w:t>
      </w:r>
    </w:p>
    <w:p w14:paraId="6E46CD44">
      <w:pPr>
        <w:pStyle w:val="11"/>
        <w:ind w:left="0"/>
        <w:jc w:val="center"/>
        <w:rPr>
          <w:szCs w:val="24"/>
        </w:rPr>
      </w:pPr>
      <w:r>
        <w:rPr>
          <w:szCs w:val="24"/>
        </w:rPr>
        <w:t>____________________________________________</w:t>
      </w:r>
    </w:p>
    <w:p w14:paraId="47B0507D">
      <w:pPr>
        <w:spacing w:after="160" w:line="259" w:lineRule="auto"/>
        <w:rPr>
          <w:rFonts w:asciiTheme="minorHAnsi" w:hAnsiTheme="minorHAnsi" w:eastAsiaTheme="minorHAnsi" w:cstheme="minorBidi"/>
          <w:sz w:val="22"/>
          <w:szCs w:val="24"/>
        </w:rPr>
      </w:pPr>
      <w:r>
        <w:rPr>
          <w:szCs w:val="24"/>
        </w:rPr>
        <w:br w:type="page"/>
      </w:r>
    </w:p>
    <w:p w14:paraId="6BB26832">
      <w:pPr>
        <w:ind w:left="5529" w:firstLine="9"/>
        <w:rPr>
          <w:color w:val="000000"/>
          <w:szCs w:val="24"/>
        </w:rPr>
      </w:pPr>
      <w:r>
        <w:rPr>
          <w:bCs/>
          <w:szCs w:val="24"/>
          <w:lang w:eastAsia="lt-LT"/>
        </w:rPr>
        <w:t xml:space="preserve">Teisėto darbo su vaikais kodo tikrinimo tvarkos aprašo </w:t>
      </w:r>
      <w:r>
        <w:rPr>
          <w:color w:val="000000"/>
          <w:szCs w:val="24"/>
        </w:rPr>
        <w:t>priedas Nr. 1</w:t>
      </w:r>
    </w:p>
    <w:p w14:paraId="36542446">
      <w:pPr>
        <w:ind w:left="5529" w:firstLine="9"/>
        <w:rPr>
          <w:color w:val="000000"/>
          <w:szCs w:val="24"/>
        </w:rPr>
      </w:pPr>
    </w:p>
    <w:p w14:paraId="550070AA">
      <w:pPr>
        <w:pStyle w:val="11"/>
        <w:ind w:left="0"/>
        <w:jc w:val="center"/>
        <w:rPr>
          <w:b/>
          <w:bCs/>
          <w:sz w:val="24"/>
          <w:szCs w:val="28"/>
        </w:rPr>
      </w:pPr>
      <w:bookmarkStart w:id="2" w:name="_Hlk186532744"/>
      <w:r>
        <w:rPr>
          <w:rFonts w:ascii="Times New Roman" w:hAnsi="Times New Roman" w:cs="Times New Roman"/>
          <w:b/>
          <w:bCs/>
          <w:sz w:val="28"/>
          <w:szCs w:val="28"/>
        </w:rPr>
        <w:t>Teisėto darbo su vaikais kodo patikrinimo žurnalas</w:t>
      </w:r>
    </w:p>
    <w:bookmarkEnd w:id="2"/>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1919"/>
        <w:gridCol w:w="1860"/>
        <w:gridCol w:w="1359"/>
        <w:gridCol w:w="1240"/>
      </w:tblGrid>
      <w:tr w14:paraId="282E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0CEEFE6E">
            <w:pPr>
              <w:jc w:val="center"/>
              <w:rPr>
                <w:color w:val="000000"/>
                <w:sz w:val="27"/>
                <w:szCs w:val="27"/>
              </w:rPr>
            </w:pPr>
            <w:r>
              <w:rPr>
                <w:color w:val="000000"/>
                <w:sz w:val="27"/>
                <w:szCs w:val="27"/>
              </w:rPr>
              <w:t xml:space="preserve">Tikrinto asmens vardas ir pavardė </w:t>
            </w:r>
          </w:p>
        </w:tc>
        <w:tc>
          <w:tcPr>
            <w:tcW w:w="1919" w:type="dxa"/>
          </w:tcPr>
          <w:p w14:paraId="47A37F2D">
            <w:pPr>
              <w:jc w:val="center"/>
              <w:rPr>
                <w:color w:val="000000"/>
                <w:sz w:val="27"/>
                <w:szCs w:val="27"/>
              </w:rPr>
            </w:pPr>
            <w:r>
              <w:rPr>
                <w:color w:val="000000"/>
                <w:sz w:val="27"/>
                <w:szCs w:val="27"/>
              </w:rPr>
              <w:t>Data</w:t>
            </w:r>
          </w:p>
        </w:tc>
        <w:tc>
          <w:tcPr>
            <w:tcW w:w="1860" w:type="dxa"/>
          </w:tcPr>
          <w:p w14:paraId="6652CA8C">
            <w:pPr>
              <w:jc w:val="center"/>
              <w:rPr>
                <w:color w:val="000000"/>
                <w:sz w:val="27"/>
                <w:szCs w:val="27"/>
              </w:rPr>
            </w:pPr>
            <w:r>
              <w:rPr>
                <w:color w:val="000000"/>
                <w:sz w:val="27"/>
                <w:szCs w:val="27"/>
              </w:rPr>
              <w:t>Patikrą atlikusio asmens vardas ir pavardė</w:t>
            </w:r>
          </w:p>
        </w:tc>
        <w:tc>
          <w:tcPr>
            <w:tcW w:w="1359" w:type="dxa"/>
          </w:tcPr>
          <w:p w14:paraId="1131379A">
            <w:pPr>
              <w:jc w:val="center"/>
              <w:rPr>
                <w:color w:val="000000"/>
                <w:sz w:val="27"/>
                <w:szCs w:val="27"/>
              </w:rPr>
            </w:pPr>
            <w:r>
              <w:rPr>
                <w:color w:val="000000"/>
                <w:sz w:val="27"/>
                <w:szCs w:val="27"/>
              </w:rPr>
              <w:t>Parašas</w:t>
            </w:r>
          </w:p>
        </w:tc>
        <w:tc>
          <w:tcPr>
            <w:tcW w:w="1240" w:type="dxa"/>
          </w:tcPr>
          <w:p w14:paraId="1A10A6FC">
            <w:pPr>
              <w:jc w:val="center"/>
              <w:rPr>
                <w:color w:val="000000"/>
                <w:sz w:val="27"/>
                <w:szCs w:val="27"/>
              </w:rPr>
            </w:pPr>
            <w:r>
              <w:rPr>
                <w:color w:val="000000"/>
                <w:sz w:val="27"/>
                <w:szCs w:val="27"/>
              </w:rPr>
              <w:t>Pastabos</w:t>
            </w:r>
          </w:p>
        </w:tc>
      </w:tr>
      <w:tr w14:paraId="2A0A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24B49D1B">
            <w:pPr>
              <w:jc w:val="both"/>
              <w:rPr>
                <w:color w:val="000000"/>
                <w:sz w:val="27"/>
                <w:szCs w:val="27"/>
              </w:rPr>
            </w:pPr>
          </w:p>
        </w:tc>
        <w:tc>
          <w:tcPr>
            <w:tcW w:w="1919" w:type="dxa"/>
          </w:tcPr>
          <w:p w14:paraId="3FFBE788">
            <w:pPr>
              <w:jc w:val="both"/>
              <w:rPr>
                <w:color w:val="000000"/>
                <w:sz w:val="27"/>
                <w:szCs w:val="27"/>
              </w:rPr>
            </w:pPr>
          </w:p>
        </w:tc>
        <w:tc>
          <w:tcPr>
            <w:tcW w:w="1860" w:type="dxa"/>
          </w:tcPr>
          <w:p w14:paraId="3DEE1443">
            <w:pPr>
              <w:jc w:val="both"/>
              <w:rPr>
                <w:color w:val="000000"/>
                <w:sz w:val="27"/>
                <w:szCs w:val="27"/>
              </w:rPr>
            </w:pPr>
          </w:p>
        </w:tc>
        <w:tc>
          <w:tcPr>
            <w:tcW w:w="1359" w:type="dxa"/>
          </w:tcPr>
          <w:p w14:paraId="718C2F98">
            <w:pPr>
              <w:jc w:val="both"/>
              <w:rPr>
                <w:color w:val="000000"/>
                <w:sz w:val="27"/>
                <w:szCs w:val="27"/>
              </w:rPr>
            </w:pPr>
          </w:p>
        </w:tc>
        <w:tc>
          <w:tcPr>
            <w:tcW w:w="1240" w:type="dxa"/>
          </w:tcPr>
          <w:p w14:paraId="00E59D1C">
            <w:pPr>
              <w:jc w:val="both"/>
              <w:rPr>
                <w:color w:val="000000"/>
                <w:sz w:val="27"/>
                <w:szCs w:val="27"/>
              </w:rPr>
            </w:pPr>
          </w:p>
        </w:tc>
      </w:tr>
      <w:tr w14:paraId="4AB5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7C17023D">
            <w:pPr>
              <w:jc w:val="both"/>
              <w:rPr>
                <w:color w:val="000000"/>
                <w:sz w:val="27"/>
                <w:szCs w:val="27"/>
              </w:rPr>
            </w:pPr>
          </w:p>
        </w:tc>
        <w:tc>
          <w:tcPr>
            <w:tcW w:w="1919" w:type="dxa"/>
          </w:tcPr>
          <w:p w14:paraId="19BDD872">
            <w:pPr>
              <w:jc w:val="both"/>
              <w:rPr>
                <w:color w:val="000000"/>
                <w:sz w:val="27"/>
                <w:szCs w:val="27"/>
              </w:rPr>
            </w:pPr>
          </w:p>
        </w:tc>
        <w:tc>
          <w:tcPr>
            <w:tcW w:w="1860" w:type="dxa"/>
          </w:tcPr>
          <w:p w14:paraId="232551AD">
            <w:pPr>
              <w:jc w:val="both"/>
              <w:rPr>
                <w:color w:val="000000"/>
                <w:sz w:val="27"/>
                <w:szCs w:val="27"/>
              </w:rPr>
            </w:pPr>
          </w:p>
        </w:tc>
        <w:tc>
          <w:tcPr>
            <w:tcW w:w="1359" w:type="dxa"/>
          </w:tcPr>
          <w:p w14:paraId="69BB1F87">
            <w:pPr>
              <w:jc w:val="both"/>
              <w:rPr>
                <w:color w:val="000000"/>
                <w:sz w:val="27"/>
                <w:szCs w:val="27"/>
              </w:rPr>
            </w:pPr>
          </w:p>
        </w:tc>
        <w:tc>
          <w:tcPr>
            <w:tcW w:w="1240" w:type="dxa"/>
          </w:tcPr>
          <w:p w14:paraId="7938B4D3">
            <w:pPr>
              <w:jc w:val="both"/>
              <w:rPr>
                <w:color w:val="000000"/>
                <w:sz w:val="27"/>
                <w:szCs w:val="27"/>
              </w:rPr>
            </w:pPr>
          </w:p>
        </w:tc>
      </w:tr>
      <w:tr w14:paraId="5EBC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2F4BCD79">
            <w:pPr>
              <w:jc w:val="both"/>
              <w:rPr>
                <w:color w:val="000000"/>
                <w:sz w:val="27"/>
                <w:szCs w:val="27"/>
              </w:rPr>
            </w:pPr>
          </w:p>
        </w:tc>
        <w:tc>
          <w:tcPr>
            <w:tcW w:w="1919" w:type="dxa"/>
          </w:tcPr>
          <w:p w14:paraId="0A16777F">
            <w:pPr>
              <w:jc w:val="both"/>
              <w:rPr>
                <w:color w:val="000000"/>
                <w:sz w:val="27"/>
                <w:szCs w:val="27"/>
              </w:rPr>
            </w:pPr>
          </w:p>
        </w:tc>
        <w:tc>
          <w:tcPr>
            <w:tcW w:w="1860" w:type="dxa"/>
          </w:tcPr>
          <w:p w14:paraId="1AF30321">
            <w:pPr>
              <w:jc w:val="both"/>
              <w:rPr>
                <w:color w:val="000000"/>
                <w:sz w:val="27"/>
                <w:szCs w:val="27"/>
              </w:rPr>
            </w:pPr>
          </w:p>
        </w:tc>
        <w:tc>
          <w:tcPr>
            <w:tcW w:w="1359" w:type="dxa"/>
          </w:tcPr>
          <w:p w14:paraId="77CBC11B">
            <w:pPr>
              <w:jc w:val="both"/>
              <w:rPr>
                <w:color w:val="000000"/>
                <w:sz w:val="27"/>
                <w:szCs w:val="27"/>
              </w:rPr>
            </w:pPr>
          </w:p>
        </w:tc>
        <w:tc>
          <w:tcPr>
            <w:tcW w:w="1240" w:type="dxa"/>
          </w:tcPr>
          <w:p w14:paraId="02EB19B6">
            <w:pPr>
              <w:jc w:val="both"/>
              <w:rPr>
                <w:color w:val="000000"/>
                <w:sz w:val="27"/>
                <w:szCs w:val="27"/>
              </w:rPr>
            </w:pPr>
          </w:p>
        </w:tc>
      </w:tr>
      <w:tr w14:paraId="513F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73C60687">
            <w:pPr>
              <w:jc w:val="both"/>
              <w:rPr>
                <w:color w:val="000000"/>
                <w:sz w:val="27"/>
                <w:szCs w:val="27"/>
              </w:rPr>
            </w:pPr>
          </w:p>
        </w:tc>
        <w:tc>
          <w:tcPr>
            <w:tcW w:w="1919" w:type="dxa"/>
          </w:tcPr>
          <w:p w14:paraId="0EF54E80">
            <w:pPr>
              <w:jc w:val="both"/>
              <w:rPr>
                <w:color w:val="000000"/>
                <w:sz w:val="27"/>
                <w:szCs w:val="27"/>
              </w:rPr>
            </w:pPr>
          </w:p>
        </w:tc>
        <w:tc>
          <w:tcPr>
            <w:tcW w:w="1860" w:type="dxa"/>
          </w:tcPr>
          <w:p w14:paraId="73D135E0">
            <w:pPr>
              <w:jc w:val="both"/>
              <w:rPr>
                <w:color w:val="000000"/>
                <w:sz w:val="27"/>
                <w:szCs w:val="27"/>
              </w:rPr>
            </w:pPr>
          </w:p>
        </w:tc>
        <w:tc>
          <w:tcPr>
            <w:tcW w:w="1359" w:type="dxa"/>
          </w:tcPr>
          <w:p w14:paraId="3C0CC71D">
            <w:pPr>
              <w:jc w:val="both"/>
              <w:rPr>
                <w:color w:val="000000"/>
                <w:sz w:val="27"/>
                <w:szCs w:val="27"/>
              </w:rPr>
            </w:pPr>
          </w:p>
        </w:tc>
        <w:tc>
          <w:tcPr>
            <w:tcW w:w="1240" w:type="dxa"/>
          </w:tcPr>
          <w:p w14:paraId="7E9AD454">
            <w:pPr>
              <w:jc w:val="both"/>
              <w:rPr>
                <w:color w:val="000000"/>
                <w:sz w:val="27"/>
                <w:szCs w:val="27"/>
              </w:rPr>
            </w:pPr>
          </w:p>
        </w:tc>
      </w:tr>
      <w:tr w14:paraId="4C75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0BB99D8D">
            <w:pPr>
              <w:jc w:val="both"/>
              <w:rPr>
                <w:color w:val="000000"/>
                <w:sz w:val="27"/>
                <w:szCs w:val="27"/>
              </w:rPr>
            </w:pPr>
          </w:p>
        </w:tc>
        <w:tc>
          <w:tcPr>
            <w:tcW w:w="1919" w:type="dxa"/>
          </w:tcPr>
          <w:p w14:paraId="6ADDDD3F">
            <w:pPr>
              <w:jc w:val="both"/>
              <w:rPr>
                <w:color w:val="000000"/>
                <w:sz w:val="27"/>
                <w:szCs w:val="27"/>
              </w:rPr>
            </w:pPr>
          </w:p>
        </w:tc>
        <w:tc>
          <w:tcPr>
            <w:tcW w:w="1860" w:type="dxa"/>
          </w:tcPr>
          <w:p w14:paraId="5C7DAE79">
            <w:pPr>
              <w:jc w:val="both"/>
              <w:rPr>
                <w:color w:val="000000"/>
                <w:sz w:val="27"/>
                <w:szCs w:val="27"/>
              </w:rPr>
            </w:pPr>
          </w:p>
        </w:tc>
        <w:tc>
          <w:tcPr>
            <w:tcW w:w="1359" w:type="dxa"/>
          </w:tcPr>
          <w:p w14:paraId="5C9B4A12">
            <w:pPr>
              <w:jc w:val="both"/>
              <w:rPr>
                <w:color w:val="000000"/>
                <w:sz w:val="27"/>
                <w:szCs w:val="27"/>
              </w:rPr>
            </w:pPr>
          </w:p>
        </w:tc>
        <w:tc>
          <w:tcPr>
            <w:tcW w:w="1240" w:type="dxa"/>
          </w:tcPr>
          <w:p w14:paraId="38B03259">
            <w:pPr>
              <w:jc w:val="both"/>
              <w:rPr>
                <w:color w:val="000000"/>
                <w:sz w:val="27"/>
                <w:szCs w:val="27"/>
              </w:rPr>
            </w:pPr>
          </w:p>
        </w:tc>
      </w:tr>
      <w:tr w14:paraId="04AF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53C4469F">
            <w:pPr>
              <w:jc w:val="both"/>
              <w:rPr>
                <w:color w:val="000000"/>
                <w:sz w:val="27"/>
                <w:szCs w:val="27"/>
              </w:rPr>
            </w:pPr>
          </w:p>
        </w:tc>
        <w:tc>
          <w:tcPr>
            <w:tcW w:w="1919" w:type="dxa"/>
          </w:tcPr>
          <w:p w14:paraId="2BD61648">
            <w:pPr>
              <w:jc w:val="both"/>
              <w:rPr>
                <w:color w:val="000000"/>
                <w:sz w:val="27"/>
                <w:szCs w:val="27"/>
              </w:rPr>
            </w:pPr>
          </w:p>
        </w:tc>
        <w:tc>
          <w:tcPr>
            <w:tcW w:w="1860" w:type="dxa"/>
          </w:tcPr>
          <w:p w14:paraId="4F219DCC">
            <w:pPr>
              <w:jc w:val="both"/>
              <w:rPr>
                <w:color w:val="000000"/>
                <w:sz w:val="27"/>
                <w:szCs w:val="27"/>
              </w:rPr>
            </w:pPr>
          </w:p>
        </w:tc>
        <w:tc>
          <w:tcPr>
            <w:tcW w:w="1359" w:type="dxa"/>
          </w:tcPr>
          <w:p w14:paraId="57AF8C8D">
            <w:pPr>
              <w:jc w:val="both"/>
              <w:rPr>
                <w:color w:val="000000"/>
                <w:sz w:val="27"/>
                <w:szCs w:val="27"/>
              </w:rPr>
            </w:pPr>
          </w:p>
        </w:tc>
        <w:tc>
          <w:tcPr>
            <w:tcW w:w="1240" w:type="dxa"/>
          </w:tcPr>
          <w:p w14:paraId="7867FE08">
            <w:pPr>
              <w:jc w:val="both"/>
              <w:rPr>
                <w:color w:val="000000"/>
                <w:sz w:val="27"/>
                <w:szCs w:val="27"/>
              </w:rPr>
            </w:pPr>
          </w:p>
        </w:tc>
      </w:tr>
      <w:tr w14:paraId="23C8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68E01239">
            <w:pPr>
              <w:jc w:val="both"/>
              <w:rPr>
                <w:color w:val="000000"/>
                <w:sz w:val="27"/>
                <w:szCs w:val="27"/>
              </w:rPr>
            </w:pPr>
          </w:p>
        </w:tc>
        <w:tc>
          <w:tcPr>
            <w:tcW w:w="1919" w:type="dxa"/>
          </w:tcPr>
          <w:p w14:paraId="77280C37">
            <w:pPr>
              <w:jc w:val="both"/>
              <w:rPr>
                <w:color w:val="000000"/>
                <w:sz w:val="27"/>
                <w:szCs w:val="27"/>
              </w:rPr>
            </w:pPr>
          </w:p>
        </w:tc>
        <w:tc>
          <w:tcPr>
            <w:tcW w:w="1860" w:type="dxa"/>
          </w:tcPr>
          <w:p w14:paraId="56698F51">
            <w:pPr>
              <w:jc w:val="both"/>
              <w:rPr>
                <w:color w:val="000000"/>
                <w:sz w:val="27"/>
                <w:szCs w:val="27"/>
              </w:rPr>
            </w:pPr>
          </w:p>
        </w:tc>
        <w:tc>
          <w:tcPr>
            <w:tcW w:w="1359" w:type="dxa"/>
          </w:tcPr>
          <w:p w14:paraId="2AAC01A6">
            <w:pPr>
              <w:jc w:val="both"/>
              <w:rPr>
                <w:color w:val="000000"/>
                <w:sz w:val="27"/>
                <w:szCs w:val="27"/>
              </w:rPr>
            </w:pPr>
          </w:p>
        </w:tc>
        <w:tc>
          <w:tcPr>
            <w:tcW w:w="1240" w:type="dxa"/>
          </w:tcPr>
          <w:p w14:paraId="198A4407">
            <w:pPr>
              <w:jc w:val="both"/>
              <w:rPr>
                <w:color w:val="000000"/>
                <w:sz w:val="27"/>
                <w:szCs w:val="27"/>
              </w:rPr>
            </w:pPr>
          </w:p>
        </w:tc>
      </w:tr>
      <w:tr w14:paraId="17F6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4DC25CE6">
            <w:pPr>
              <w:jc w:val="both"/>
              <w:rPr>
                <w:color w:val="000000"/>
                <w:sz w:val="27"/>
                <w:szCs w:val="27"/>
              </w:rPr>
            </w:pPr>
          </w:p>
        </w:tc>
        <w:tc>
          <w:tcPr>
            <w:tcW w:w="1919" w:type="dxa"/>
          </w:tcPr>
          <w:p w14:paraId="3472BBF9">
            <w:pPr>
              <w:jc w:val="both"/>
              <w:rPr>
                <w:color w:val="000000"/>
                <w:sz w:val="27"/>
                <w:szCs w:val="27"/>
              </w:rPr>
            </w:pPr>
          </w:p>
        </w:tc>
        <w:tc>
          <w:tcPr>
            <w:tcW w:w="1860" w:type="dxa"/>
          </w:tcPr>
          <w:p w14:paraId="30A1FFD2">
            <w:pPr>
              <w:jc w:val="both"/>
              <w:rPr>
                <w:color w:val="000000"/>
                <w:sz w:val="27"/>
                <w:szCs w:val="27"/>
              </w:rPr>
            </w:pPr>
          </w:p>
        </w:tc>
        <w:tc>
          <w:tcPr>
            <w:tcW w:w="1359" w:type="dxa"/>
          </w:tcPr>
          <w:p w14:paraId="51DFF640">
            <w:pPr>
              <w:jc w:val="both"/>
              <w:rPr>
                <w:color w:val="000000"/>
                <w:sz w:val="27"/>
                <w:szCs w:val="27"/>
              </w:rPr>
            </w:pPr>
          </w:p>
        </w:tc>
        <w:tc>
          <w:tcPr>
            <w:tcW w:w="1240" w:type="dxa"/>
          </w:tcPr>
          <w:p w14:paraId="7CE4E551">
            <w:pPr>
              <w:jc w:val="both"/>
              <w:rPr>
                <w:color w:val="000000"/>
                <w:sz w:val="27"/>
                <w:szCs w:val="27"/>
              </w:rPr>
            </w:pPr>
          </w:p>
        </w:tc>
      </w:tr>
      <w:tr w14:paraId="6C7F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75649524">
            <w:pPr>
              <w:jc w:val="both"/>
              <w:rPr>
                <w:color w:val="000000"/>
                <w:sz w:val="27"/>
                <w:szCs w:val="27"/>
              </w:rPr>
            </w:pPr>
          </w:p>
        </w:tc>
        <w:tc>
          <w:tcPr>
            <w:tcW w:w="1919" w:type="dxa"/>
          </w:tcPr>
          <w:p w14:paraId="2EBA804A">
            <w:pPr>
              <w:jc w:val="both"/>
              <w:rPr>
                <w:color w:val="000000"/>
                <w:sz w:val="27"/>
                <w:szCs w:val="27"/>
              </w:rPr>
            </w:pPr>
          </w:p>
        </w:tc>
        <w:tc>
          <w:tcPr>
            <w:tcW w:w="1860" w:type="dxa"/>
          </w:tcPr>
          <w:p w14:paraId="43D85440">
            <w:pPr>
              <w:jc w:val="both"/>
              <w:rPr>
                <w:color w:val="000000"/>
                <w:sz w:val="27"/>
                <w:szCs w:val="27"/>
              </w:rPr>
            </w:pPr>
          </w:p>
        </w:tc>
        <w:tc>
          <w:tcPr>
            <w:tcW w:w="1359" w:type="dxa"/>
          </w:tcPr>
          <w:p w14:paraId="5D24EC05">
            <w:pPr>
              <w:jc w:val="both"/>
              <w:rPr>
                <w:color w:val="000000"/>
                <w:sz w:val="27"/>
                <w:szCs w:val="27"/>
              </w:rPr>
            </w:pPr>
          </w:p>
        </w:tc>
        <w:tc>
          <w:tcPr>
            <w:tcW w:w="1240" w:type="dxa"/>
          </w:tcPr>
          <w:p w14:paraId="75F11862">
            <w:pPr>
              <w:jc w:val="both"/>
              <w:rPr>
                <w:color w:val="000000"/>
                <w:sz w:val="27"/>
                <w:szCs w:val="27"/>
              </w:rPr>
            </w:pPr>
          </w:p>
        </w:tc>
      </w:tr>
      <w:tr w14:paraId="35FC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70ABEA29">
            <w:pPr>
              <w:jc w:val="both"/>
              <w:rPr>
                <w:color w:val="000000"/>
                <w:sz w:val="27"/>
                <w:szCs w:val="27"/>
              </w:rPr>
            </w:pPr>
          </w:p>
        </w:tc>
        <w:tc>
          <w:tcPr>
            <w:tcW w:w="1919" w:type="dxa"/>
          </w:tcPr>
          <w:p w14:paraId="0E431485">
            <w:pPr>
              <w:jc w:val="both"/>
              <w:rPr>
                <w:color w:val="000000"/>
                <w:sz w:val="27"/>
                <w:szCs w:val="27"/>
              </w:rPr>
            </w:pPr>
          </w:p>
        </w:tc>
        <w:tc>
          <w:tcPr>
            <w:tcW w:w="1860" w:type="dxa"/>
          </w:tcPr>
          <w:p w14:paraId="3E76DBE7">
            <w:pPr>
              <w:jc w:val="both"/>
              <w:rPr>
                <w:color w:val="000000"/>
                <w:sz w:val="27"/>
                <w:szCs w:val="27"/>
              </w:rPr>
            </w:pPr>
          </w:p>
        </w:tc>
        <w:tc>
          <w:tcPr>
            <w:tcW w:w="1359" w:type="dxa"/>
          </w:tcPr>
          <w:p w14:paraId="70DEFF7C">
            <w:pPr>
              <w:jc w:val="both"/>
              <w:rPr>
                <w:color w:val="000000"/>
                <w:sz w:val="27"/>
                <w:szCs w:val="27"/>
              </w:rPr>
            </w:pPr>
          </w:p>
        </w:tc>
        <w:tc>
          <w:tcPr>
            <w:tcW w:w="1240" w:type="dxa"/>
          </w:tcPr>
          <w:p w14:paraId="35AB0C42">
            <w:pPr>
              <w:jc w:val="both"/>
              <w:rPr>
                <w:color w:val="000000"/>
                <w:sz w:val="27"/>
                <w:szCs w:val="27"/>
              </w:rPr>
            </w:pPr>
          </w:p>
        </w:tc>
      </w:tr>
      <w:tr w14:paraId="65A6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28FDF5E0">
            <w:pPr>
              <w:jc w:val="both"/>
              <w:rPr>
                <w:color w:val="000000"/>
                <w:sz w:val="27"/>
                <w:szCs w:val="27"/>
              </w:rPr>
            </w:pPr>
          </w:p>
        </w:tc>
        <w:tc>
          <w:tcPr>
            <w:tcW w:w="1919" w:type="dxa"/>
          </w:tcPr>
          <w:p w14:paraId="31CE6998">
            <w:pPr>
              <w:jc w:val="both"/>
              <w:rPr>
                <w:color w:val="000000"/>
                <w:sz w:val="27"/>
                <w:szCs w:val="27"/>
              </w:rPr>
            </w:pPr>
          </w:p>
        </w:tc>
        <w:tc>
          <w:tcPr>
            <w:tcW w:w="1860" w:type="dxa"/>
          </w:tcPr>
          <w:p w14:paraId="56B5B02D">
            <w:pPr>
              <w:jc w:val="both"/>
              <w:rPr>
                <w:color w:val="000000"/>
                <w:sz w:val="27"/>
                <w:szCs w:val="27"/>
              </w:rPr>
            </w:pPr>
          </w:p>
        </w:tc>
        <w:tc>
          <w:tcPr>
            <w:tcW w:w="1359" w:type="dxa"/>
          </w:tcPr>
          <w:p w14:paraId="1334A4E3">
            <w:pPr>
              <w:jc w:val="both"/>
              <w:rPr>
                <w:color w:val="000000"/>
                <w:sz w:val="27"/>
                <w:szCs w:val="27"/>
              </w:rPr>
            </w:pPr>
          </w:p>
        </w:tc>
        <w:tc>
          <w:tcPr>
            <w:tcW w:w="1240" w:type="dxa"/>
          </w:tcPr>
          <w:p w14:paraId="26DB1FA2">
            <w:pPr>
              <w:jc w:val="both"/>
              <w:rPr>
                <w:color w:val="000000"/>
                <w:sz w:val="27"/>
                <w:szCs w:val="27"/>
              </w:rPr>
            </w:pPr>
          </w:p>
        </w:tc>
      </w:tr>
      <w:tr w14:paraId="5F96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39C756B0">
            <w:pPr>
              <w:jc w:val="both"/>
              <w:rPr>
                <w:color w:val="000000"/>
                <w:sz w:val="27"/>
                <w:szCs w:val="27"/>
              </w:rPr>
            </w:pPr>
          </w:p>
        </w:tc>
        <w:tc>
          <w:tcPr>
            <w:tcW w:w="1919" w:type="dxa"/>
          </w:tcPr>
          <w:p w14:paraId="2F556233">
            <w:pPr>
              <w:jc w:val="both"/>
              <w:rPr>
                <w:color w:val="000000"/>
                <w:sz w:val="27"/>
                <w:szCs w:val="27"/>
              </w:rPr>
            </w:pPr>
          </w:p>
        </w:tc>
        <w:tc>
          <w:tcPr>
            <w:tcW w:w="1860" w:type="dxa"/>
          </w:tcPr>
          <w:p w14:paraId="79A50435">
            <w:pPr>
              <w:jc w:val="both"/>
              <w:rPr>
                <w:color w:val="000000"/>
                <w:sz w:val="27"/>
                <w:szCs w:val="27"/>
              </w:rPr>
            </w:pPr>
          </w:p>
        </w:tc>
        <w:tc>
          <w:tcPr>
            <w:tcW w:w="1359" w:type="dxa"/>
          </w:tcPr>
          <w:p w14:paraId="4A9F629C">
            <w:pPr>
              <w:jc w:val="both"/>
              <w:rPr>
                <w:color w:val="000000"/>
                <w:sz w:val="27"/>
                <w:szCs w:val="27"/>
              </w:rPr>
            </w:pPr>
          </w:p>
        </w:tc>
        <w:tc>
          <w:tcPr>
            <w:tcW w:w="1240" w:type="dxa"/>
          </w:tcPr>
          <w:p w14:paraId="78FEC086">
            <w:pPr>
              <w:jc w:val="both"/>
              <w:rPr>
                <w:color w:val="000000"/>
                <w:sz w:val="27"/>
                <w:szCs w:val="27"/>
              </w:rPr>
            </w:pPr>
          </w:p>
        </w:tc>
      </w:tr>
      <w:tr w14:paraId="6CED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37BCBEC3">
            <w:pPr>
              <w:jc w:val="both"/>
              <w:rPr>
                <w:color w:val="000000"/>
                <w:sz w:val="27"/>
                <w:szCs w:val="27"/>
              </w:rPr>
            </w:pPr>
          </w:p>
        </w:tc>
        <w:tc>
          <w:tcPr>
            <w:tcW w:w="1919" w:type="dxa"/>
          </w:tcPr>
          <w:p w14:paraId="5EEF2112">
            <w:pPr>
              <w:jc w:val="both"/>
              <w:rPr>
                <w:color w:val="000000"/>
                <w:sz w:val="27"/>
                <w:szCs w:val="27"/>
              </w:rPr>
            </w:pPr>
          </w:p>
        </w:tc>
        <w:tc>
          <w:tcPr>
            <w:tcW w:w="1860" w:type="dxa"/>
          </w:tcPr>
          <w:p w14:paraId="16D48E67">
            <w:pPr>
              <w:jc w:val="both"/>
              <w:rPr>
                <w:color w:val="000000"/>
                <w:sz w:val="27"/>
                <w:szCs w:val="27"/>
              </w:rPr>
            </w:pPr>
          </w:p>
        </w:tc>
        <w:tc>
          <w:tcPr>
            <w:tcW w:w="1359" w:type="dxa"/>
          </w:tcPr>
          <w:p w14:paraId="7367B73E">
            <w:pPr>
              <w:jc w:val="both"/>
              <w:rPr>
                <w:color w:val="000000"/>
                <w:sz w:val="27"/>
                <w:szCs w:val="27"/>
              </w:rPr>
            </w:pPr>
          </w:p>
        </w:tc>
        <w:tc>
          <w:tcPr>
            <w:tcW w:w="1240" w:type="dxa"/>
          </w:tcPr>
          <w:p w14:paraId="59A5101E">
            <w:pPr>
              <w:jc w:val="both"/>
              <w:rPr>
                <w:color w:val="000000"/>
                <w:sz w:val="27"/>
                <w:szCs w:val="27"/>
              </w:rPr>
            </w:pPr>
          </w:p>
        </w:tc>
      </w:tr>
      <w:tr w14:paraId="1FF4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7793B014">
            <w:pPr>
              <w:jc w:val="both"/>
              <w:rPr>
                <w:color w:val="000000"/>
                <w:sz w:val="27"/>
                <w:szCs w:val="27"/>
              </w:rPr>
            </w:pPr>
          </w:p>
        </w:tc>
        <w:tc>
          <w:tcPr>
            <w:tcW w:w="1919" w:type="dxa"/>
          </w:tcPr>
          <w:p w14:paraId="77D6DBAF">
            <w:pPr>
              <w:jc w:val="both"/>
              <w:rPr>
                <w:color w:val="000000"/>
                <w:sz w:val="27"/>
                <w:szCs w:val="27"/>
              </w:rPr>
            </w:pPr>
          </w:p>
        </w:tc>
        <w:tc>
          <w:tcPr>
            <w:tcW w:w="1860" w:type="dxa"/>
          </w:tcPr>
          <w:p w14:paraId="08B6C27C">
            <w:pPr>
              <w:jc w:val="both"/>
              <w:rPr>
                <w:color w:val="000000"/>
                <w:sz w:val="27"/>
                <w:szCs w:val="27"/>
              </w:rPr>
            </w:pPr>
          </w:p>
        </w:tc>
        <w:tc>
          <w:tcPr>
            <w:tcW w:w="1359" w:type="dxa"/>
          </w:tcPr>
          <w:p w14:paraId="664FD6E7">
            <w:pPr>
              <w:jc w:val="both"/>
              <w:rPr>
                <w:color w:val="000000"/>
                <w:sz w:val="27"/>
                <w:szCs w:val="27"/>
              </w:rPr>
            </w:pPr>
          </w:p>
        </w:tc>
        <w:tc>
          <w:tcPr>
            <w:tcW w:w="1240" w:type="dxa"/>
          </w:tcPr>
          <w:p w14:paraId="413A3354">
            <w:pPr>
              <w:jc w:val="both"/>
              <w:rPr>
                <w:color w:val="000000"/>
                <w:sz w:val="27"/>
                <w:szCs w:val="27"/>
              </w:rPr>
            </w:pPr>
          </w:p>
        </w:tc>
      </w:tr>
      <w:tr w14:paraId="1554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77DBB858">
            <w:pPr>
              <w:jc w:val="both"/>
              <w:rPr>
                <w:color w:val="000000"/>
                <w:sz w:val="27"/>
                <w:szCs w:val="27"/>
              </w:rPr>
            </w:pPr>
          </w:p>
        </w:tc>
        <w:tc>
          <w:tcPr>
            <w:tcW w:w="1919" w:type="dxa"/>
          </w:tcPr>
          <w:p w14:paraId="433BEF5F">
            <w:pPr>
              <w:jc w:val="both"/>
              <w:rPr>
                <w:color w:val="000000"/>
                <w:sz w:val="27"/>
                <w:szCs w:val="27"/>
              </w:rPr>
            </w:pPr>
          </w:p>
        </w:tc>
        <w:tc>
          <w:tcPr>
            <w:tcW w:w="1860" w:type="dxa"/>
          </w:tcPr>
          <w:p w14:paraId="6D5ADC76">
            <w:pPr>
              <w:jc w:val="both"/>
              <w:rPr>
                <w:color w:val="000000"/>
                <w:sz w:val="27"/>
                <w:szCs w:val="27"/>
              </w:rPr>
            </w:pPr>
          </w:p>
        </w:tc>
        <w:tc>
          <w:tcPr>
            <w:tcW w:w="1359" w:type="dxa"/>
          </w:tcPr>
          <w:p w14:paraId="51C8899C">
            <w:pPr>
              <w:jc w:val="both"/>
              <w:rPr>
                <w:color w:val="000000"/>
                <w:sz w:val="27"/>
                <w:szCs w:val="27"/>
              </w:rPr>
            </w:pPr>
          </w:p>
        </w:tc>
        <w:tc>
          <w:tcPr>
            <w:tcW w:w="1240" w:type="dxa"/>
          </w:tcPr>
          <w:p w14:paraId="79F3DD64">
            <w:pPr>
              <w:jc w:val="both"/>
              <w:rPr>
                <w:color w:val="000000"/>
                <w:sz w:val="27"/>
                <w:szCs w:val="27"/>
              </w:rPr>
            </w:pPr>
          </w:p>
        </w:tc>
      </w:tr>
      <w:tr w14:paraId="19AC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552FF739">
            <w:pPr>
              <w:jc w:val="both"/>
              <w:rPr>
                <w:color w:val="000000"/>
                <w:sz w:val="27"/>
                <w:szCs w:val="27"/>
              </w:rPr>
            </w:pPr>
          </w:p>
        </w:tc>
        <w:tc>
          <w:tcPr>
            <w:tcW w:w="1919" w:type="dxa"/>
          </w:tcPr>
          <w:p w14:paraId="2C2C277D">
            <w:pPr>
              <w:jc w:val="both"/>
              <w:rPr>
                <w:color w:val="000000"/>
                <w:sz w:val="27"/>
                <w:szCs w:val="27"/>
              </w:rPr>
            </w:pPr>
          </w:p>
        </w:tc>
        <w:tc>
          <w:tcPr>
            <w:tcW w:w="1860" w:type="dxa"/>
          </w:tcPr>
          <w:p w14:paraId="34F3C1D3">
            <w:pPr>
              <w:jc w:val="both"/>
              <w:rPr>
                <w:color w:val="000000"/>
                <w:sz w:val="27"/>
                <w:szCs w:val="27"/>
              </w:rPr>
            </w:pPr>
          </w:p>
        </w:tc>
        <w:tc>
          <w:tcPr>
            <w:tcW w:w="1359" w:type="dxa"/>
          </w:tcPr>
          <w:p w14:paraId="065F8636">
            <w:pPr>
              <w:jc w:val="both"/>
              <w:rPr>
                <w:color w:val="000000"/>
                <w:sz w:val="27"/>
                <w:szCs w:val="27"/>
              </w:rPr>
            </w:pPr>
          </w:p>
        </w:tc>
        <w:tc>
          <w:tcPr>
            <w:tcW w:w="1240" w:type="dxa"/>
          </w:tcPr>
          <w:p w14:paraId="08F05E02">
            <w:pPr>
              <w:jc w:val="both"/>
              <w:rPr>
                <w:color w:val="000000"/>
                <w:sz w:val="27"/>
                <w:szCs w:val="27"/>
              </w:rPr>
            </w:pPr>
          </w:p>
        </w:tc>
      </w:tr>
      <w:tr w14:paraId="728B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0724911D">
            <w:pPr>
              <w:jc w:val="both"/>
              <w:rPr>
                <w:color w:val="000000"/>
                <w:sz w:val="27"/>
                <w:szCs w:val="27"/>
              </w:rPr>
            </w:pPr>
          </w:p>
        </w:tc>
        <w:tc>
          <w:tcPr>
            <w:tcW w:w="1919" w:type="dxa"/>
          </w:tcPr>
          <w:p w14:paraId="20DFADB3">
            <w:pPr>
              <w:jc w:val="both"/>
              <w:rPr>
                <w:color w:val="000000"/>
                <w:sz w:val="27"/>
                <w:szCs w:val="27"/>
              </w:rPr>
            </w:pPr>
          </w:p>
        </w:tc>
        <w:tc>
          <w:tcPr>
            <w:tcW w:w="1860" w:type="dxa"/>
          </w:tcPr>
          <w:p w14:paraId="40176D4A">
            <w:pPr>
              <w:jc w:val="both"/>
              <w:rPr>
                <w:color w:val="000000"/>
                <w:sz w:val="27"/>
                <w:szCs w:val="27"/>
              </w:rPr>
            </w:pPr>
          </w:p>
        </w:tc>
        <w:tc>
          <w:tcPr>
            <w:tcW w:w="1359" w:type="dxa"/>
          </w:tcPr>
          <w:p w14:paraId="5DC891BD">
            <w:pPr>
              <w:jc w:val="both"/>
              <w:rPr>
                <w:color w:val="000000"/>
                <w:sz w:val="27"/>
                <w:szCs w:val="27"/>
              </w:rPr>
            </w:pPr>
          </w:p>
        </w:tc>
        <w:tc>
          <w:tcPr>
            <w:tcW w:w="1240" w:type="dxa"/>
          </w:tcPr>
          <w:p w14:paraId="40BB082B">
            <w:pPr>
              <w:jc w:val="both"/>
              <w:rPr>
                <w:color w:val="000000"/>
                <w:sz w:val="27"/>
                <w:szCs w:val="27"/>
              </w:rPr>
            </w:pPr>
          </w:p>
        </w:tc>
      </w:tr>
      <w:tr w14:paraId="1D5E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7B6B866D">
            <w:pPr>
              <w:jc w:val="both"/>
              <w:rPr>
                <w:color w:val="000000"/>
                <w:sz w:val="27"/>
                <w:szCs w:val="27"/>
              </w:rPr>
            </w:pPr>
          </w:p>
        </w:tc>
        <w:tc>
          <w:tcPr>
            <w:tcW w:w="1919" w:type="dxa"/>
          </w:tcPr>
          <w:p w14:paraId="6710F9E8">
            <w:pPr>
              <w:jc w:val="both"/>
              <w:rPr>
                <w:color w:val="000000"/>
                <w:sz w:val="27"/>
                <w:szCs w:val="27"/>
              </w:rPr>
            </w:pPr>
          </w:p>
        </w:tc>
        <w:tc>
          <w:tcPr>
            <w:tcW w:w="1860" w:type="dxa"/>
          </w:tcPr>
          <w:p w14:paraId="1150324B">
            <w:pPr>
              <w:jc w:val="both"/>
              <w:rPr>
                <w:color w:val="000000"/>
                <w:sz w:val="27"/>
                <w:szCs w:val="27"/>
              </w:rPr>
            </w:pPr>
          </w:p>
        </w:tc>
        <w:tc>
          <w:tcPr>
            <w:tcW w:w="1359" w:type="dxa"/>
          </w:tcPr>
          <w:p w14:paraId="4CA62822">
            <w:pPr>
              <w:jc w:val="both"/>
              <w:rPr>
                <w:color w:val="000000"/>
                <w:sz w:val="27"/>
                <w:szCs w:val="27"/>
              </w:rPr>
            </w:pPr>
          </w:p>
        </w:tc>
        <w:tc>
          <w:tcPr>
            <w:tcW w:w="1240" w:type="dxa"/>
          </w:tcPr>
          <w:p w14:paraId="30AEFC43">
            <w:pPr>
              <w:jc w:val="both"/>
              <w:rPr>
                <w:color w:val="000000"/>
                <w:sz w:val="27"/>
                <w:szCs w:val="27"/>
              </w:rPr>
            </w:pPr>
          </w:p>
        </w:tc>
      </w:tr>
      <w:tr w14:paraId="7B61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4E3D278E">
            <w:pPr>
              <w:jc w:val="both"/>
              <w:rPr>
                <w:color w:val="000000"/>
                <w:sz w:val="27"/>
                <w:szCs w:val="27"/>
              </w:rPr>
            </w:pPr>
          </w:p>
        </w:tc>
        <w:tc>
          <w:tcPr>
            <w:tcW w:w="1919" w:type="dxa"/>
          </w:tcPr>
          <w:p w14:paraId="1B235D83">
            <w:pPr>
              <w:jc w:val="both"/>
              <w:rPr>
                <w:color w:val="000000"/>
                <w:sz w:val="27"/>
                <w:szCs w:val="27"/>
              </w:rPr>
            </w:pPr>
          </w:p>
        </w:tc>
        <w:tc>
          <w:tcPr>
            <w:tcW w:w="1860" w:type="dxa"/>
          </w:tcPr>
          <w:p w14:paraId="36C725C9">
            <w:pPr>
              <w:jc w:val="both"/>
              <w:rPr>
                <w:color w:val="000000"/>
                <w:sz w:val="27"/>
                <w:szCs w:val="27"/>
              </w:rPr>
            </w:pPr>
          </w:p>
        </w:tc>
        <w:tc>
          <w:tcPr>
            <w:tcW w:w="1359" w:type="dxa"/>
          </w:tcPr>
          <w:p w14:paraId="11015688">
            <w:pPr>
              <w:jc w:val="both"/>
              <w:rPr>
                <w:color w:val="000000"/>
                <w:sz w:val="27"/>
                <w:szCs w:val="27"/>
              </w:rPr>
            </w:pPr>
          </w:p>
        </w:tc>
        <w:tc>
          <w:tcPr>
            <w:tcW w:w="1240" w:type="dxa"/>
          </w:tcPr>
          <w:p w14:paraId="3F530F77">
            <w:pPr>
              <w:jc w:val="both"/>
              <w:rPr>
                <w:color w:val="000000"/>
                <w:sz w:val="27"/>
                <w:szCs w:val="27"/>
              </w:rPr>
            </w:pPr>
          </w:p>
        </w:tc>
      </w:tr>
      <w:tr w14:paraId="42A7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5F455ED1">
            <w:pPr>
              <w:jc w:val="both"/>
              <w:rPr>
                <w:color w:val="000000"/>
                <w:sz w:val="27"/>
                <w:szCs w:val="27"/>
              </w:rPr>
            </w:pPr>
          </w:p>
        </w:tc>
        <w:tc>
          <w:tcPr>
            <w:tcW w:w="1919" w:type="dxa"/>
          </w:tcPr>
          <w:p w14:paraId="035358AA">
            <w:pPr>
              <w:jc w:val="both"/>
              <w:rPr>
                <w:color w:val="000000"/>
                <w:sz w:val="27"/>
                <w:szCs w:val="27"/>
              </w:rPr>
            </w:pPr>
          </w:p>
        </w:tc>
        <w:tc>
          <w:tcPr>
            <w:tcW w:w="1860" w:type="dxa"/>
          </w:tcPr>
          <w:p w14:paraId="2F7D11FA">
            <w:pPr>
              <w:jc w:val="both"/>
              <w:rPr>
                <w:color w:val="000000"/>
                <w:sz w:val="27"/>
                <w:szCs w:val="27"/>
              </w:rPr>
            </w:pPr>
          </w:p>
        </w:tc>
        <w:tc>
          <w:tcPr>
            <w:tcW w:w="1359" w:type="dxa"/>
          </w:tcPr>
          <w:p w14:paraId="6C2781B5">
            <w:pPr>
              <w:jc w:val="both"/>
              <w:rPr>
                <w:color w:val="000000"/>
                <w:sz w:val="27"/>
                <w:szCs w:val="27"/>
              </w:rPr>
            </w:pPr>
          </w:p>
        </w:tc>
        <w:tc>
          <w:tcPr>
            <w:tcW w:w="1240" w:type="dxa"/>
          </w:tcPr>
          <w:p w14:paraId="357C2132">
            <w:pPr>
              <w:jc w:val="both"/>
              <w:rPr>
                <w:color w:val="000000"/>
                <w:sz w:val="27"/>
                <w:szCs w:val="27"/>
              </w:rPr>
            </w:pPr>
          </w:p>
        </w:tc>
      </w:tr>
      <w:tr w14:paraId="1638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3CFFCA09">
            <w:pPr>
              <w:jc w:val="both"/>
              <w:rPr>
                <w:color w:val="000000"/>
                <w:sz w:val="27"/>
                <w:szCs w:val="27"/>
              </w:rPr>
            </w:pPr>
          </w:p>
        </w:tc>
        <w:tc>
          <w:tcPr>
            <w:tcW w:w="1919" w:type="dxa"/>
          </w:tcPr>
          <w:p w14:paraId="3BF67F28">
            <w:pPr>
              <w:jc w:val="both"/>
              <w:rPr>
                <w:color w:val="000000"/>
                <w:sz w:val="27"/>
                <w:szCs w:val="27"/>
              </w:rPr>
            </w:pPr>
          </w:p>
        </w:tc>
        <w:tc>
          <w:tcPr>
            <w:tcW w:w="1860" w:type="dxa"/>
          </w:tcPr>
          <w:p w14:paraId="7A78EABC">
            <w:pPr>
              <w:jc w:val="both"/>
              <w:rPr>
                <w:color w:val="000000"/>
                <w:sz w:val="27"/>
                <w:szCs w:val="27"/>
              </w:rPr>
            </w:pPr>
          </w:p>
        </w:tc>
        <w:tc>
          <w:tcPr>
            <w:tcW w:w="1359" w:type="dxa"/>
          </w:tcPr>
          <w:p w14:paraId="0BD219E6">
            <w:pPr>
              <w:jc w:val="both"/>
              <w:rPr>
                <w:color w:val="000000"/>
                <w:sz w:val="27"/>
                <w:szCs w:val="27"/>
              </w:rPr>
            </w:pPr>
          </w:p>
        </w:tc>
        <w:tc>
          <w:tcPr>
            <w:tcW w:w="1240" w:type="dxa"/>
          </w:tcPr>
          <w:p w14:paraId="730FBA25">
            <w:pPr>
              <w:jc w:val="both"/>
              <w:rPr>
                <w:color w:val="000000"/>
                <w:sz w:val="27"/>
                <w:szCs w:val="27"/>
              </w:rPr>
            </w:pPr>
          </w:p>
        </w:tc>
      </w:tr>
      <w:tr w14:paraId="0A57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060BCF72">
            <w:pPr>
              <w:jc w:val="both"/>
              <w:rPr>
                <w:color w:val="000000"/>
                <w:sz w:val="27"/>
                <w:szCs w:val="27"/>
              </w:rPr>
            </w:pPr>
          </w:p>
        </w:tc>
        <w:tc>
          <w:tcPr>
            <w:tcW w:w="1919" w:type="dxa"/>
          </w:tcPr>
          <w:p w14:paraId="0E21FC58">
            <w:pPr>
              <w:jc w:val="both"/>
              <w:rPr>
                <w:color w:val="000000"/>
                <w:sz w:val="27"/>
                <w:szCs w:val="27"/>
              </w:rPr>
            </w:pPr>
          </w:p>
        </w:tc>
        <w:tc>
          <w:tcPr>
            <w:tcW w:w="1860" w:type="dxa"/>
          </w:tcPr>
          <w:p w14:paraId="48DA6AB9">
            <w:pPr>
              <w:jc w:val="both"/>
              <w:rPr>
                <w:color w:val="000000"/>
                <w:sz w:val="27"/>
                <w:szCs w:val="27"/>
              </w:rPr>
            </w:pPr>
          </w:p>
        </w:tc>
        <w:tc>
          <w:tcPr>
            <w:tcW w:w="1359" w:type="dxa"/>
          </w:tcPr>
          <w:p w14:paraId="7E3D223B">
            <w:pPr>
              <w:jc w:val="both"/>
              <w:rPr>
                <w:color w:val="000000"/>
                <w:sz w:val="27"/>
                <w:szCs w:val="27"/>
              </w:rPr>
            </w:pPr>
          </w:p>
        </w:tc>
        <w:tc>
          <w:tcPr>
            <w:tcW w:w="1240" w:type="dxa"/>
          </w:tcPr>
          <w:p w14:paraId="4A6953F6">
            <w:pPr>
              <w:jc w:val="both"/>
              <w:rPr>
                <w:color w:val="000000"/>
                <w:sz w:val="27"/>
                <w:szCs w:val="27"/>
              </w:rPr>
            </w:pPr>
          </w:p>
        </w:tc>
      </w:tr>
      <w:tr w14:paraId="4BA5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4CB0BC34">
            <w:pPr>
              <w:jc w:val="both"/>
              <w:rPr>
                <w:color w:val="000000"/>
                <w:sz w:val="27"/>
                <w:szCs w:val="27"/>
              </w:rPr>
            </w:pPr>
          </w:p>
        </w:tc>
        <w:tc>
          <w:tcPr>
            <w:tcW w:w="1919" w:type="dxa"/>
          </w:tcPr>
          <w:p w14:paraId="3330E844">
            <w:pPr>
              <w:jc w:val="both"/>
              <w:rPr>
                <w:color w:val="000000"/>
                <w:sz w:val="27"/>
                <w:szCs w:val="27"/>
              </w:rPr>
            </w:pPr>
          </w:p>
        </w:tc>
        <w:tc>
          <w:tcPr>
            <w:tcW w:w="1860" w:type="dxa"/>
          </w:tcPr>
          <w:p w14:paraId="764B3637">
            <w:pPr>
              <w:jc w:val="both"/>
              <w:rPr>
                <w:color w:val="000000"/>
                <w:sz w:val="27"/>
                <w:szCs w:val="27"/>
              </w:rPr>
            </w:pPr>
          </w:p>
        </w:tc>
        <w:tc>
          <w:tcPr>
            <w:tcW w:w="1359" w:type="dxa"/>
          </w:tcPr>
          <w:p w14:paraId="3E6BE10E">
            <w:pPr>
              <w:jc w:val="both"/>
              <w:rPr>
                <w:color w:val="000000"/>
                <w:sz w:val="27"/>
                <w:szCs w:val="27"/>
              </w:rPr>
            </w:pPr>
          </w:p>
        </w:tc>
        <w:tc>
          <w:tcPr>
            <w:tcW w:w="1240" w:type="dxa"/>
          </w:tcPr>
          <w:p w14:paraId="3579122D">
            <w:pPr>
              <w:jc w:val="both"/>
              <w:rPr>
                <w:color w:val="000000"/>
                <w:sz w:val="27"/>
                <w:szCs w:val="27"/>
              </w:rPr>
            </w:pPr>
          </w:p>
        </w:tc>
      </w:tr>
      <w:tr w14:paraId="7FF1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2C0503AC">
            <w:pPr>
              <w:jc w:val="both"/>
              <w:rPr>
                <w:color w:val="000000"/>
                <w:sz w:val="27"/>
                <w:szCs w:val="27"/>
              </w:rPr>
            </w:pPr>
          </w:p>
        </w:tc>
        <w:tc>
          <w:tcPr>
            <w:tcW w:w="1919" w:type="dxa"/>
          </w:tcPr>
          <w:p w14:paraId="576A9DB2">
            <w:pPr>
              <w:jc w:val="both"/>
              <w:rPr>
                <w:color w:val="000000"/>
                <w:sz w:val="27"/>
                <w:szCs w:val="27"/>
              </w:rPr>
            </w:pPr>
          </w:p>
        </w:tc>
        <w:tc>
          <w:tcPr>
            <w:tcW w:w="1860" w:type="dxa"/>
          </w:tcPr>
          <w:p w14:paraId="3030A90E">
            <w:pPr>
              <w:jc w:val="both"/>
              <w:rPr>
                <w:color w:val="000000"/>
                <w:sz w:val="27"/>
                <w:szCs w:val="27"/>
              </w:rPr>
            </w:pPr>
          </w:p>
        </w:tc>
        <w:tc>
          <w:tcPr>
            <w:tcW w:w="1359" w:type="dxa"/>
          </w:tcPr>
          <w:p w14:paraId="55D24D6F">
            <w:pPr>
              <w:jc w:val="both"/>
              <w:rPr>
                <w:color w:val="000000"/>
                <w:sz w:val="27"/>
                <w:szCs w:val="27"/>
              </w:rPr>
            </w:pPr>
          </w:p>
        </w:tc>
        <w:tc>
          <w:tcPr>
            <w:tcW w:w="1240" w:type="dxa"/>
          </w:tcPr>
          <w:p w14:paraId="36438643">
            <w:pPr>
              <w:jc w:val="both"/>
              <w:rPr>
                <w:color w:val="000000"/>
                <w:sz w:val="27"/>
                <w:szCs w:val="27"/>
              </w:rPr>
            </w:pPr>
          </w:p>
        </w:tc>
      </w:tr>
      <w:tr w14:paraId="2128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6F36A643">
            <w:pPr>
              <w:jc w:val="both"/>
              <w:rPr>
                <w:color w:val="000000"/>
                <w:sz w:val="27"/>
                <w:szCs w:val="27"/>
              </w:rPr>
            </w:pPr>
          </w:p>
        </w:tc>
        <w:tc>
          <w:tcPr>
            <w:tcW w:w="1919" w:type="dxa"/>
          </w:tcPr>
          <w:p w14:paraId="1E953EEB">
            <w:pPr>
              <w:jc w:val="both"/>
              <w:rPr>
                <w:color w:val="000000"/>
                <w:sz w:val="27"/>
                <w:szCs w:val="27"/>
              </w:rPr>
            </w:pPr>
          </w:p>
        </w:tc>
        <w:tc>
          <w:tcPr>
            <w:tcW w:w="1860" w:type="dxa"/>
          </w:tcPr>
          <w:p w14:paraId="5E9B8A79">
            <w:pPr>
              <w:jc w:val="both"/>
              <w:rPr>
                <w:color w:val="000000"/>
                <w:sz w:val="27"/>
                <w:szCs w:val="27"/>
              </w:rPr>
            </w:pPr>
          </w:p>
        </w:tc>
        <w:tc>
          <w:tcPr>
            <w:tcW w:w="1359" w:type="dxa"/>
          </w:tcPr>
          <w:p w14:paraId="101C1A47">
            <w:pPr>
              <w:jc w:val="both"/>
              <w:rPr>
                <w:color w:val="000000"/>
                <w:sz w:val="27"/>
                <w:szCs w:val="27"/>
              </w:rPr>
            </w:pPr>
          </w:p>
        </w:tc>
        <w:tc>
          <w:tcPr>
            <w:tcW w:w="1240" w:type="dxa"/>
          </w:tcPr>
          <w:p w14:paraId="03D6DC54">
            <w:pPr>
              <w:jc w:val="both"/>
              <w:rPr>
                <w:color w:val="000000"/>
                <w:sz w:val="27"/>
                <w:szCs w:val="27"/>
              </w:rPr>
            </w:pPr>
          </w:p>
        </w:tc>
      </w:tr>
      <w:tr w14:paraId="08F4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362E1D2F">
            <w:pPr>
              <w:jc w:val="both"/>
              <w:rPr>
                <w:color w:val="000000"/>
                <w:sz w:val="27"/>
                <w:szCs w:val="27"/>
              </w:rPr>
            </w:pPr>
          </w:p>
        </w:tc>
        <w:tc>
          <w:tcPr>
            <w:tcW w:w="1919" w:type="dxa"/>
          </w:tcPr>
          <w:p w14:paraId="2222770E">
            <w:pPr>
              <w:jc w:val="both"/>
              <w:rPr>
                <w:color w:val="000000"/>
                <w:sz w:val="27"/>
                <w:szCs w:val="27"/>
              </w:rPr>
            </w:pPr>
          </w:p>
        </w:tc>
        <w:tc>
          <w:tcPr>
            <w:tcW w:w="1860" w:type="dxa"/>
          </w:tcPr>
          <w:p w14:paraId="1F3E2BE7">
            <w:pPr>
              <w:jc w:val="both"/>
              <w:rPr>
                <w:color w:val="000000"/>
                <w:sz w:val="27"/>
                <w:szCs w:val="27"/>
              </w:rPr>
            </w:pPr>
          </w:p>
        </w:tc>
        <w:tc>
          <w:tcPr>
            <w:tcW w:w="1359" w:type="dxa"/>
          </w:tcPr>
          <w:p w14:paraId="2F271243">
            <w:pPr>
              <w:jc w:val="both"/>
              <w:rPr>
                <w:color w:val="000000"/>
                <w:sz w:val="27"/>
                <w:szCs w:val="27"/>
              </w:rPr>
            </w:pPr>
          </w:p>
        </w:tc>
        <w:tc>
          <w:tcPr>
            <w:tcW w:w="1240" w:type="dxa"/>
          </w:tcPr>
          <w:p w14:paraId="4B05DD40">
            <w:pPr>
              <w:jc w:val="both"/>
              <w:rPr>
                <w:color w:val="000000"/>
                <w:sz w:val="27"/>
                <w:szCs w:val="27"/>
              </w:rPr>
            </w:pPr>
          </w:p>
        </w:tc>
      </w:tr>
      <w:tr w14:paraId="1B0E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238FD3C2">
            <w:pPr>
              <w:jc w:val="both"/>
              <w:rPr>
                <w:color w:val="000000"/>
                <w:sz w:val="27"/>
                <w:szCs w:val="27"/>
              </w:rPr>
            </w:pPr>
          </w:p>
        </w:tc>
        <w:tc>
          <w:tcPr>
            <w:tcW w:w="1919" w:type="dxa"/>
          </w:tcPr>
          <w:p w14:paraId="5FBB7139">
            <w:pPr>
              <w:jc w:val="both"/>
              <w:rPr>
                <w:color w:val="000000"/>
                <w:sz w:val="27"/>
                <w:szCs w:val="27"/>
              </w:rPr>
            </w:pPr>
          </w:p>
        </w:tc>
        <w:tc>
          <w:tcPr>
            <w:tcW w:w="1860" w:type="dxa"/>
          </w:tcPr>
          <w:p w14:paraId="34F376F1">
            <w:pPr>
              <w:jc w:val="both"/>
              <w:rPr>
                <w:color w:val="000000"/>
                <w:sz w:val="27"/>
                <w:szCs w:val="27"/>
              </w:rPr>
            </w:pPr>
          </w:p>
        </w:tc>
        <w:tc>
          <w:tcPr>
            <w:tcW w:w="1359" w:type="dxa"/>
          </w:tcPr>
          <w:p w14:paraId="7B26D037">
            <w:pPr>
              <w:jc w:val="both"/>
              <w:rPr>
                <w:color w:val="000000"/>
                <w:sz w:val="27"/>
                <w:szCs w:val="27"/>
              </w:rPr>
            </w:pPr>
          </w:p>
        </w:tc>
        <w:tc>
          <w:tcPr>
            <w:tcW w:w="1240" w:type="dxa"/>
          </w:tcPr>
          <w:p w14:paraId="37A74361">
            <w:pPr>
              <w:jc w:val="both"/>
              <w:rPr>
                <w:color w:val="000000"/>
                <w:sz w:val="27"/>
                <w:szCs w:val="27"/>
              </w:rPr>
            </w:pPr>
          </w:p>
        </w:tc>
      </w:tr>
      <w:tr w14:paraId="26FC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237E6203">
            <w:pPr>
              <w:jc w:val="both"/>
              <w:rPr>
                <w:color w:val="000000"/>
                <w:sz w:val="27"/>
                <w:szCs w:val="27"/>
              </w:rPr>
            </w:pPr>
          </w:p>
        </w:tc>
        <w:tc>
          <w:tcPr>
            <w:tcW w:w="1919" w:type="dxa"/>
          </w:tcPr>
          <w:p w14:paraId="4282C86F">
            <w:pPr>
              <w:jc w:val="both"/>
              <w:rPr>
                <w:color w:val="000000"/>
                <w:sz w:val="27"/>
                <w:szCs w:val="27"/>
              </w:rPr>
            </w:pPr>
          </w:p>
        </w:tc>
        <w:tc>
          <w:tcPr>
            <w:tcW w:w="1860" w:type="dxa"/>
          </w:tcPr>
          <w:p w14:paraId="2E501EC5">
            <w:pPr>
              <w:jc w:val="both"/>
              <w:rPr>
                <w:color w:val="000000"/>
                <w:sz w:val="27"/>
                <w:szCs w:val="27"/>
              </w:rPr>
            </w:pPr>
          </w:p>
        </w:tc>
        <w:tc>
          <w:tcPr>
            <w:tcW w:w="1359" w:type="dxa"/>
          </w:tcPr>
          <w:p w14:paraId="52B93A3E">
            <w:pPr>
              <w:jc w:val="both"/>
              <w:rPr>
                <w:color w:val="000000"/>
                <w:sz w:val="27"/>
                <w:szCs w:val="27"/>
              </w:rPr>
            </w:pPr>
          </w:p>
        </w:tc>
        <w:tc>
          <w:tcPr>
            <w:tcW w:w="1240" w:type="dxa"/>
          </w:tcPr>
          <w:p w14:paraId="0CDD0872">
            <w:pPr>
              <w:jc w:val="both"/>
              <w:rPr>
                <w:color w:val="000000"/>
                <w:sz w:val="27"/>
                <w:szCs w:val="27"/>
              </w:rPr>
            </w:pPr>
          </w:p>
        </w:tc>
      </w:tr>
      <w:tr w14:paraId="1443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332631D3">
            <w:pPr>
              <w:jc w:val="both"/>
              <w:rPr>
                <w:color w:val="000000"/>
                <w:sz w:val="27"/>
                <w:szCs w:val="27"/>
              </w:rPr>
            </w:pPr>
          </w:p>
        </w:tc>
        <w:tc>
          <w:tcPr>
            <w:tcW w:w="1919" w:type="dxa"/>
          </w:tcPr>
          <w:p w14:paraId="5B52286B">
            <w:pPr>
              <w:jc w:val="both"/>
              <w:rPr>
                <w:color w:val="000000"/>
                <w:sz w:val="27"/>
                <w:szCs w:val="27"/>
              </w:rPr>
            </w:pPr>
          </w:p>
        </w:tc>
        <w:tc>
          <w:tcPr>
            <w:tcW w:w="1860" w:type="dxa"/>
          </w:tcPr>
          <w:p w14:paraId="79E5769F">
            <w:pPr>
              <w:jc w:val="both"/>
              <w:rPr>
                <w:color w:val="000000"/>
                <w:sz w:val="27"/>
                <w:szCs w:val="27"/>
              </w:rPr>
            </w:pPr>
          </w:p>
        </w:tc>
        <w:tc>
          <w:tcPr>
            <w:tcW w:w="1359" w:type="dxa"/>
          </w:tcPr>
          <w:p w14:paraId="7304A539">
            <w:pPr>
              <w:jc w:val="both"/>
              <w:rPr>
                <w:color w:val="000000"/>
                <w:sz w:val="27"/>
                <w:szCs w:val="27"/>
              </w:rPr>
            </w:pPr>
          </w:p>
        </w:tc>
        <w:tc>
          <w:tcPr>
            <w:tcW w:w="1240" w:type="dxa"/>
          </w:tcPr>
          <w:p w14:paraId="1E7AEC6D">
            <w:pPr>
              <w:jc w:val="both"/>
              <w:rPr>
                <w:color w:val="000000"/>
                <w:sz w:val="27"/>
                <w:szCs w:val="27"/>
              </w:rPr>
            </w:pPr>
          </w:p>
        </w:tc>
      </w:tr>
      <w:tr w14:paraId="1473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dxa"/>
          </w:tcPr>
          <w:p w14:paraId="7B713156">
            <w:pPr>
              <w:jc w:val="both"/>
              <w:rPr>
                <w:color w:val="000000"/>
                <w:sz w:val="27"/>
                <w:szCs w:val="27"/>
              </w:rPr>
            </w:pPr>
          </w:p>
        </w:tc>
        <w:tc>
          <w:tcPr>
            <w:tcW w:w="1919" w:type="dxa"/>
          </w:tcPr>
          <w:p w14:paraId="407EB4B7">
            <w:pPr>
              <w:jc w:val="both"/>
              <w:rPr>
                <w:color w:val="000000"/>
                <w:sz w:val="27"/>
                <w:szCs w:val="27"/>
              </w:rPr>
            </w:pPr>
          </w:p>
        </w:tc>
        <w:tc>
          <w:tcPr>
            <w:tcW w:w="1860" w:type="dxa"/>
          </w:tcPr>
          <w:p w14:paraId="57E7AFB7">
            <w:pPr>
              <w:jc w:val="both"/>
              <w:rPr>
                <w:color w:val="000000"/>
                <w:sz w:val="27"/>
                <w:szCs w:val="27"/>
              </w:rPr>
            </w:pPr>
          </w:p>
        </w:tc>
        <w:tc>
          <w:tcPr>
            <w:tcW w:w="1359" w:type="dxa"/>
          </w:tcPr>
          <w:p w14:paraId="6E4CD426">
            <w:pPr>
              <w:jc w:val="both"/>
              <w:rPr>
                <w:color w:val="000000"/>
                <w:sz w:val="27"/>
                <w:szCs w:val="27"/>
              </w:rPr>
            </w:pPr>
          </w:p>
        </w:tc>
        <w:tc>
          <w:tcPr>
            <w:tcW w:w="1240" w:type="dxa"/>
          </w:tcPr>
          <w:p w14:paraId="7AE12049">
            <w:pPr>
              <w:jc w:val="both"/>
              <w:rPr>
                <w:color w:val="000000"/>
                <w:sz w:val="27"/>
                <w:szCs w:val="27"/>
              </w:rPr>
            </w:pPr>
          </w:p>
        </w:tc>
      </w:tr>
    </w:tbl>
    <w:p w14:paraId="31D02DE1">
      <w:pPr>
        <w:jc w:val="both"/>
        <w:rPr>
          <w:szCs w:val="24"/>
        </w:rPr>
      </w:pPr>
    </w:p>
    <w:p w14:paraId="4733F2B8">
      <w:pPr>
        <w:pStyle w:val="11"/>
        <w:ind w:left="0"/>
        <w:jc w:val="center"/>
        <w:rPr>
          <w:szCs w:val="24"/>
        </w:rPr>
      </w:pPr>
    </w:p>
    <w:sectPr>
      <w:headerReference r:id="rId5" w:type="default"/>
      <w:pgSz w:w="12240" w:h="15840"/>
      <w:pgMar w:top="1134" w:right="567" w:bottom="1134" w:left="1701"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ptos">
    <w:altName w:val="SimSun"/>
    <w:panose1 w:val="00000000000000000000"/>
    <w:charset w:val="86"/>
    <w:family w:val="auto"/>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480125"/>
      <w:docPartObj>
        <w:docPartGallery w:val="AutoText"/>
      </w:docPartObj>
    </w:sdtPr>
    <w:sdtContent>
      <w:p w14:paraId="7F2D556A">
        <w:pPr>
          <w:pStyle w:val="8"/>
          <w:jc w:val="center"/>
        </w:pPr>
        <w:r>
          <w:fldChar w:fldCharType="begin"/>
        </w:r>
        <w:r>
          <w:instrText xml:space="preserve">PAGE   \* MERGEFORMAT</w:instrText>
        </w:r>
        <w:r>
          <w:fldChar w:fldCharType="separate"/>
        </w:r>
        <w:r>
          <w:t>2</w:t>
        </w:r>
        <w:r>
          <w:fldChar w:fldCharType="end"/>
        </w:r>
      </w:p>
    </w:sdtContent>
  </w:sdt>
  <w:p w14:paraId="63DCA60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61EFA"/>
    <w:multiLevelType w:val="singleLevel"/>
    <w:tmpl w:val="C5061EFA"/>
    <w:lvl w:ilvl="0" w:tentative="0">
      <w:start w:val="12"/>
      <w:numFmt w:val="upperLetter"/>
      <w:suff w:val="space"/>
      <w:lvlText w:val="%1."/>
      <w:lvlJc w:val="left"/>
      <w:pPr>
        <w:ind w:left="660" w:leftChars="0" w:firstLine="0" w:firstLineChars="0"/>
      </w:pPr>
    </w:lvl>
  </w:abstractNum>
  <w:abstractNum w:abstractNumId="1">
    <w:nsid w:val="14151A80"/>
    <w:multiLevelType w:val="multilevel"/>
    <w:tmpl w:val="14151A80"/>
    <w:lvl w:ilvl="0" w:tentative="0">
      <w:start w:val="1"/>
      <w:numFmt w:val="decimal"/>
      <w:lvlText w:val="%1."/>
      <w:lvlJc w:val="left"/>
      <w:pPr>
        <w:ind w:left="360" w:hanging="360"/>
      </w:pPr>
      <w:rPr>
        <w:rFonts w:hint="default" w:ascii="Times New Roman" w:hAnsi="Times New Roman" w:cs="Times New Roman"/>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43F016E6"/>
    <w:multiLevelType w:val="multilevel"/>
    <w:tmpl w:val="43F016E6"/>
    <w:lvl w:ilvl="0" w:tentative="0">
      <w:start w:val="1"/>
      <w:numFmt w:val="decimal"/>
      <w:lvlText w:val="%1."/>
      <w:lvlJc w:val="left"/>
      <w:pPr>
        <w:ind w:left="360" w:hanging="360"/>
      </w:pPr>
      <w:rPr>
        <w:rFonts w:hint="default" w:ascii="Times New Roman" w:hAnsi="Times New Roman" w:cs="Times New Roman"/>
        <w:b w:val="0"/>
        <w:bCs/>
        <w:sz w:val="24"/>
        <w:szCs w:val="24"/>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20"/>
  <w:hyphenationZone w:val="396"/>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2B"/>
    <w:rsid w:val="00005352"/>
    <w:rsid w:val="00005898"/>
    <w:rsid w:val="000258A3"/>
    <w:rsid w:val="00040260"/>
    <w:rsid w:val="00072BEC"/>
    <w:rsid w:val="00087BD4"/>
    <w:rsid w:val="00087D19"/>
    <w:rsid w:val="000B6363"/>
    <w:rsid w:val="000B7DA2"/>
    <w:rsid w:val="000D415D"/>
    <w:rsid w:val="000E6205"/>
    <w:rsid w:val="000F3797"/>
    <w:rsid w:val="00102092"/>
    <w:rsid w:val="00123C10"/>
    <w:rsid w:val="00126F92"/>
    <w:rsid w:val="001453BC"/>
    <w:rsid w:val="0015208E"/>
    <w:rsid w:val="00155E0F"/>
    <w:rsid w:val="00164D90"/>
    <w:rsid w:val="001675FF"/>
    <w:rsid w:val="00187C37"/>
    <w:rsid w:val="00192833"/>
    <w:rsid w:val="001A2B2E"/>
    <w:rsid w:val="001A77AA"/>
    <w:rsid w:val="001B4FB7"/>
    <w:rsid w:val="001E0BBF"/>
    <w:rsid w:val="001E5473"/>
    <w:rsid w:val="00204F4E"/>
    <w:rsid w:val="002212F5"/>
    <w:rsid w:val="002216F6"/>
    <w:rsid w:val="00226EF3"/>
    <w:rsid w:val="0026287D"/>
    <w:rsid w:val="00281D9A"/>
    <w:rsid w:val="00285F02"/>
    <w:rsid w:val="002A6EB4"/>
    <w:rsid w:val="002B657E"/>
    <w:rsid w:val="002C0CAE"/>
    <w:rsid w:val="002C449C"/>
    <w:rsid w:val="002D2A38"/>
    <w:rsid w:val="002E3938"/>
    <w:rsid w:val="002E4261"/>
    <w:rsid w:val="00353EDE"/>
    <w:rsid w:val="00382DEA"/>
    <w:rsid w:val="00393D21"/>
    <w:rsid w:val="00394B51"/>
    <w:rsid w:val="003A621B"/>
    <w:rsid w:val="003A6527"/>
    <w:rsid w:val="003B163C"/>
    <w:rsid w:val="003B4D49"/>
    <w:rsid w:val="003B7E2C"/>
    <w:rsid w:val="003F4607"/>
    <w:rsid w:val="00420A5F"/>
    <w:rsid w:val="00423D68"/>
    <w:rsid w:val="00432940"/>
    <w:rsid w:val="00437DEC"/>
    <w:rsid w:val="00446C0E"/>
    <w:rsid w:val="00453FFE"/>
    <w:rsid w:val="004571A7"/>
    <w:rsid w:val="00457705"/>
    <w:rsid w:val="00477870"/>
    <w:rsid w:val="004855CD"/>
    <w:rsid w:val="004A2F20"/>
    <w:rsid w:val="004B089F"/>
    <w:rsid w:val="004B5C95"/>
    <w:rsid w:val="004C193E"/>
    <w:rsid w:val="004C3274"/>
    <w:rsid w:val="00523724"/>
    <w:rsid w:val="005245BD"/>
    <w:rsid w:val="005322A4"/>
    <w:rsid w:val="00534F49"/>
    <w:rsid w:val="00540296"/>
    <w:rsid w:val="00547AE7"/>
    <w:rsid w:val="005555A2"/>
    <w:rsid w:val="00564930"/>
    <w:rsid w:val="00565E5D"/>
    <w:rsid w:val="00593B2A"/>
    <w:rsid w:val="00595631"/>
    <w:rsid w:val="005B2F92"/>
    <w:rsid w:val="005C1EFF"/>
    <w:rsid w:val="005C258D"/>
    <w:rsid w:val="005C65F6"/>
    <w:rsid w:val="005C6E2B"/>
    <w:rsid w:val="005D452A"/>
    <w:rsid w:val="005D4DF9"/>
    <w:rsid w:val="005D6FA0"/>
    <w:rsid w:val="005D79FF"/>
    <w:rsid w:val="005E2807"/>
    <w:rsid w:val="005F08C9"/>
    <w:rsid w:val="006109A7"/>
    <w:rsid w:val="00642A50"/>
    <w:rsid w:val="006437B1"/>
    <w:rsid w:val="00675934"/>
    <w:rsid w:val="00690E70"/>
    <w:rsid w:val="0069530A"/>
    <w:rsid w:val="00695BFB"/>
    <w:rsid w:val="006A30E6"/>
    <w:rsid w:val="006D599B"/>
    <w:rsid w:val="006E1123"/>
    <w:rsid w:val="006E1871"/>
    <w:rsid w:val="00702A4B"/>
    <w:rsid w:val="00707B92"/>
    <w:rsid w:val="007151BB"/>
    <w:rsid w:val="007508ED"/>
    <w:rsid w:val="007761B6"/>
    <w:rsid w:val="00785AFB"/>
    <w:rsid w:val="007E571C"/>
    <w:rsid w:val="007F0AE5"/>
    <w:rsid w:val="007F78DC"/>
    <w:rsid w:val="0081372D"/>
    <w:rsid w:val="00842449"/>
    <w:rsid w:val="0085015A"/>
    <w:rsid w:val="00881AE0"/>
    <w:rsid w:val="00892214"/>
    <w:rsid w:val="008968DC"/>
    <w:rsid w:val="008B42AE"/>
    <w:rsid w:val="008B7D6E"/>
    <w:rsid w:val="008D1942"/>
    <w:rsid w:val="008D1CE9"/>
    <w:rsid w:val="008D59C3"/>
    <w:rsid w:val="008E6F02"/>
    <w:rsid w:val="009204F3"/>
    <w:rsid w:val="0093442E"/>
    <w:rsid w:val="0094107D"/>
    <w:rsid w:val="009419EE"/>
    <w:rsid w:val="009435D6"/>
    <w:rsid w:val="0094487D"/>
    <w:rsid w:val="00960246"/>
    <w:rsid w:val="0096061B"/>
    <w:rsid w:val="009829B8"/>
    <w:rsid w:val="009900E7"/>
    <w:rsid w:val="009901E1"/>
    <w:rsid w:val="009A3E77"/>
    <w:rsid w:val="009A547A"/>
    <w:rsid w:val="009B166F"/>
    <w:rsid w:val="009C4784"/>
    <w:rsid w:val="009C7746"/>
    <w:rsid w:val="009D5EFD"/>
    <w:rsid w:val="009F0328"/>
    <w:rsid w:val="009F0BD5"/>
    <w:rsid w:val="009F63B4"/>
    <w:rsid w:val="00A00E21"/>
    <w:rsid w:val="00A1288D"/>
    <w:rsid w:val="00A14C7B"/>
    <w:rsid w:val="00A277E9"/>
    <w:rsid w:val="00A278C9"/>
    <w:rsid w:val="00A60A58"/>
    <w:rsid w:val="00A65168"/>
    <w:rsid w:val="00AA5FEF"/>
    <w:rsid w:val="00AA724E"/>
    <w:rsid w:val="00AD1E2B"/>
    <w:rsid w:val="00AD7E10"/>
    <w:rsid w:val="00AE2956"/>
    <w:rsid w:val="00B14ADA"/>
    <w:rsid w:val="00B24A38"/>
    <w:rsid w:val="00B66368"/>
    <w:rsid w:val="00B76FC1"/>
    <w:rsid w:val="00B770CA"/>
    <w:rsid w:val="00B93F18"/>
    <w:rsid w:val="00B94A76"/>
    <w:rsid w:val="00BA3197"/>
    <w:rsid w:val="00BC00D7"/>
    <w:rsid w:val="00BD12E7"/>
    <w:rsid w:val="00BD2336"/>
    <w:rsid w:val="00BD626A"/>
    <w:rsid w:val="00BE6911"/>
    <w:rsid w:val="00BF5298"/>
    <w:rsid w:val="00BF5BC2"/>
    <w:rsid w:val="00C03E2B"/>
    <w:rsid w:val="00C20E6F"/>
    <w:rsid w:val="00C22E09"/>
    <w:rsid w:val="00C26ECC"/>
    <w:rsid w:val="00C300DC"/>
    <w:rsid w:val="00C336CC"/>
    <w:rsid w:val="00C51D07"/>
    <w:rsid w:val="00C6297F"/>
    <w:rsid w:val="00C77ACC"/>
    <w:rsid w:val="00C838BF"/>
    <w:rsid w:val="00C90539"/>
    <w:rsid w:val="00CA4EAA"/>
    <w:rsid w:val="00CA789F"/>
    <w:rsid w:val="00CC25B9"/>
    <w:rsid w:val="00CC4F2B"/>
    <w:rsid w:val="00CD106A"/>
    <w:rsid w:val="00CD7259"/>
    <w:rsid w:val="00CD7D10"/>
    <w:rsid w:val="00CD7EB7"/>
    <w:rsid w:val="00D03C2E"/>
    <w:rsid w:val="00D05B92"/>
    <w:rsid w:val="00D6792D"/>
    <w:rsid w:val="00D931CE"/>
    <w:rsid w:val="00D93A6D"/>
    <w:rsid w:val="00DB2B61"/>
    <w:rsid w:val="00DB46E0"/>
    <w:rsid w:val="00DB5545"/>
    <w:rsid w:val="00DB7B39"/>
    <w:rsid w:val="00DC720F"/>
    <w:rsid w:val="00DC7D0D"/>
    <w:rsid w:val="00DE5467"/>
    <w:rsid w:val="00E00313"/>
    <w:rsid w:val="00E1418E"/>
    <w:rsid w:val="00E43361"/>
    <w:rsid w:val="00E44356"/>
    <w:rsid w:val="00E52187"/>
    <w:rsid w:val="00E65173"/>
    <w:rsid w:val="00E76F85"/>
    <w:rsid w:val="00EA289B"/>
    <w:rsid w:val="00EA74C3"/>
    <w:rsid w:val="00EB256A"/>
    <w:rsid w:val="00F058D6"/>
    <w:rsid w:val="00F56D2A"/>
    <w:rsid w:val="00F57DD4"/>
    <w:rsid w:val="00F62B7E"/>
    <w:rsid w:val="00F7037A"/>
    <w:rsid w:val="00F763DF"/>
    <w:rsid w:val="00F86714"/>
    <w:rsid w:val="00FA7F2D"/>
    <w:rsid w:val="00FB06D3"/>
    <w:rsid w:val="00FC4A36"/>
    <w:rsid w:val="00FD3368"/>
    <w:rsid w:val="00FE49A3"/>
    <w:rsid w:val="0B443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lt-LT"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3"/>
    <w:unhideWhenUsed/>
    <w:qFormat/>
    <w:uiPriority w:val="99"/>
    <w:rPr>
      <w:sz w:val="20"/>
    </w:rPr>
  </w:style>
  <w:style w:type="paragraph" w:styleId="6">
    <w:name w:val="annotation subject"/>
    <w:basedOn w:val="5"/>
    <w:next w:val="5"/>
    <w:link w:val="14"/>
    <w:semiHidden/>
    <w:unhideWhenUsed/>
    <w:qFormat/>
    <w:uiPriority w:val="99"/>
    <w:rPr>
      <w:b/>
      <w:bCs/>
    </w:rPr>
  </w:style>
  <w:style w:type="paragraph" w:styleId="7">
    <w:name w:val="footer"/>
    <w:basedOn w:val="1"/>
    <w:link w:val="16"/>
    <w:unhideWhenUsed/>
    <w:qFormat/>
    <w:uiPriority w:val="99"/>
    <w:pPr>
      <w:tabs>
        <w:tab w:val="center" w:pos="4536"/>
        <w:tab w:val="right" w:pos="9072"/>
      </w:tabs>
    </w:pPr>
  </w:style>
  <w:style w:type="paragraph" w:styleId="8">
    <w:name w:val="header"/>
    <w:basedOn w:val="1"/>
    <w:link w:val="15"/>
    <w:unhideWhenUsed/>
    <w:qFormat/>
    <w:uiPriority w:val="99"/>
    <w:pPr>
      <w:tabs>
        <w:tab w:val="center" w:pos="4536"/>
        <w:tab w:val="right" w:pos="9072"/>
      </w:tabs>
    </w:pPr>
  </w:style>
  <w:style w:type="character" w:styleId="9">
    <w:name w:val="Hyperlink"/>
    <w:basedOn w:val="2"/>
    <w:unhideWhenUsed/>
    <w:uiPriority w:val="99"/>
    <w:rPr>
      <w:color w:val="0563C1" w:themeColor="hyperlink"/>
      <w:u w:val="single"/>
      <w14:textFill>
        <w14:solidFill>
          <w14:schemeClr w14:val="hlink"/>
        </w14:solidFill>
      </w14:textFill>
    </w:r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0"/>
    <w:pPr>
      <w:spacing w:after="200" w:line="276" w:lineRule="auto"/>
      <w:ind w:left="720"/>
      <w:contextualSpacing/>
    </w:pPr>
    <w:rPr>
      <w:rFonts w:asciiTheme="minorHAnsi" w:hAnsiTheme="minorHAnsi" w:eastAsiaTheme="minorHAnsi" w:cstheme="minorBidi"/>
      <w:sz w:val="22"/>
      <w:szCs w:val="22"/>
    </w:rPr>
  </w:style>
  <w:style w:type="character" w:customStyle="1" w:styleId="12">
    <w:name w:val="Unresolved Mention"/>
    <w:basedOn w:val="2"/>
    <w:semiHidden/>
    <w:unhideWhenUsed/>
    <w:qFormat/>
    <w:uiPriority w:val="99"/>
    <w:rPr>
      <w:color w:val="605E5C"/>
      <w:shd w:val="clear" w:color="auto" w:fill="E1DFDD"/>
    </w:rPr>
  </w:style>
  <w:style w:type="character" w:customStyle="1" w:styleId="13">
    <w:name w:val="Komentaro tekstas Diagrama"/>
    <w:basedOn w:val="2"/>
    <w:link w:val="5"/>
    <w:qFormat/>
    <w:uiPriority w:val="99"/>
    <w:rPr>
      <w:rFonts w:ascii="Times New Roman" w:hAnsi="Times New Roman" w:eastAsia="Times New Roman" w:cs="Times New Roman"/>
      <w:sz w:val="20"/>
      <w:szCs w:val="20"/>
      <w:lang w:val="lt-LT"/>
    </w:rPr>
  </w:style>
  <w:style w:type="character" w:customStyle="1" w:styleId="14">
    <w:name w:val="Komentaro tema Diagrama"/>
    <w:basedOn w:val="13"/>
    <w:link w:val="6"/>
    <w:semiHidden/>
    <w:qFormat/>
    <w:uiPriority w:val="99"/>
    <w:rPr>
      <w:rFonts w:ascii="Times New Roman" w:hAnsi="Times New Roman" w:eastAsia="Times New Roman" w:cs="Times New Roman"/>
      <w:b/>
      <w:bCs/>
      <w:sz w:val="20"/>
      <w:szCs w:val="20"/>
      <w:lang w:val="lt-LT"/>
    </w:rPr>
  </w:style>
  <w:style w:type="character" w:customStyle="1" w:styleId="15">
    <w:name w:val="Antraštės Diagrama"/>
    <w:basedOn w:val="2"/>
    <w:link w:val="8"/>
    <w:qFormat/>
    <w:uiPriority w:val="99"/>
    <w:rPr>
      <w:rFonts w:ascii="Times New Roman" w:hAnsi="Times New Roman" w:eastAsia="Times New Roman" w:cs="Times New Roman"/>
      <w:sz w:val="24"/>
      <w:szCs w:val="20"/>
      <w:lang w:val="lt-LT"/>
    </w:rPr>
  </w:style>
  <w:style w:type="character" w:customStyle="1" w:styleId="16">
    <w:name w:val="Poraštė Diagrama"/>
    <w:basedOn w:val="2"/>
    <w:link w:val="7"/>
    <w:qFormat/>
    <w:uiPriority w:val="99"/>
    <w:rPr>
      <w:rFonts w:ascii="Times New Roman" w:hAnsi="Times New Roman" w:eastAsia="Times New Roman" w:cs="Times New Roman"/>
      <w:sz w:val="24"/>
      <w:szCs w:val="20"/>
      <w:lang w:val="lt-LT"/>
    </w:rPr>
  </w:style>
  <w:style w:type="paragraph" w:customStyle="1" w:styleId="17">
    <w:name w:val="Revision"/>
    <w:hidden/>
    <w:semiHidden/>
    <w:qFormat/>
    <w:uiPriority w:val="99"/>
    <w:pPr>
      <w:spacing w:after="0" w:line="240" w:lineRule="auto"/>
    </w:pPr>
    <w:rPr>
      <w:rFonts w:ascii="Times New Roman" w:hAnsi="Times New Roman" w:eastAsia="Times New Roman" w:cs="Times New Roman"/>
      <w:sz w:val="24"/>
      <w:szCs w:val="20"/>
      <w:lang w:val="lt-LT"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33D54-1562-424B-A972-1E466A980C68}">
  <ds:schemaRefs/>
</ds:datastoreItem>
</file>

<file path=docProps/app.xml><?xml version="1.0" encoding="utf-8"?>
<Properties xmlns="http://schemas.openxmlformats.org/officeDocument/2006/extended-properties" xmlns:vt="http://schemas.openxmlformats.org/officeDocument/2006/docPropsVTypes">
  <Template>Normal</Template>
  <Pages>5</Pages>
  <Words>4845</Words>
  <Characters>2763</Characters>
  <Lines>23</Lines>
  <Paragraphs>15</Paragraphs>
  <TotalTime>54</TotalTime>
  <ScaleCrop>false</ScaleCrop>
  <LinksUpToDate>false</LinksUpToDate>
  <CharactersWithSpaces>7593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2025-07-31T08:57:00Z</dcterms:created>
  <dc:creator>TG</dc:creator>
  <cp:lastModifiedBy>irena</cp:lastModifiedBy>
  <dcterms:modified xsi:type="dcterms:W3CDTF">2025-08-01T07:45:43Z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32804137B4064F1AADE7963D223880A7_12</vt:lpwstr>
  </property>
</Properties>
</file>