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01" w:rsidRPr="00C30B01" w:rsidRDefault="00C30B01" w:rsidP="00C3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KŪRYBINIO – VISUMINIO UGDYMO METODO SAMPRATA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Tarptautinių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žodžių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žodynas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teigia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kad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kompleksas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(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lot.complexus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–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ryšys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derinys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) – 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vienas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kitu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susijusių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veiksmų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reiškinių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ypatybių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visuma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Kūrybinis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 xml:space="preserve"> – 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visuminis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 </w:t>
      </w:r>
      <w:proofErr w:type="spellStart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ugdymas</w:t>
      </w:r>
      <w:proofErr w:type="spellEnd"/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  – 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integralus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visuminis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visaapimantis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visybinis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(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holistinis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)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ugdymas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 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apimantis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 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pagrindines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penkias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vaikų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ugdymosi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kompetencijas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–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socialinę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sveikatos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saugojimo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komunikavimo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pažinimo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 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meninę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KŪRYBINIO – VISUMINIO UGDYMO METODO TIKSLAS – 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atsižvelgiant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į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vaiko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prigimtines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galias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jo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individualią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patirtį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vadovaujantis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raidos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dėsningumais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padėti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vaikui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išsiugdyti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savarankiškumo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sveikos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gyvensenos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pozityvaus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bendravimo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suaugusiais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bendraamžiais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kūrybiškumo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artimiausios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gyvenamosios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aplinkos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pažinimo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mokėjimo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mokytis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pradmenis</w:t>
      </w:r>
      <w:proofErr w:type="spellEnd"/>
      <w:r w:rsidRPr="00C30B01">
        <w:rPr>
          <w:rFonts w:ascii="Arial" w:eastAsia="Times New Roman" w:hAnsi="Arial" w:cs="Arial"/>
          <w:i/>
          <w:iCs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         UGDYMO UŽDAVINIAI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Lanksčiai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kūrybiškai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taikyti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metodą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žinant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kiekvieno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unikalumą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poreikius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pomėgius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interesus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sudarant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saugią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inspiruojančią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aktyviai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aplinką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taikant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inovatyvias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technologijas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sudaryti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galimybes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kad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kiekvienas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plėtotų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pagrindines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ugdymosi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kompetencijas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: 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socialinę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sveikatos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saugojimo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komunikavimo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pažinimo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meninę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siekti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kad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aktyviai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veikdamas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išreikštų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dalyvautų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vietos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bendruomenės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gyvenime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gebėtų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bendrauti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bendraamžiais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spręstų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iškilusias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problemas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reikalui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esant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kreiptųsi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į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suaugusį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pagalbos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patarimo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būtų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motyvuotas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pažinimo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procese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tyrinėtų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eksperimentuotų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išbandytų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dalintųsi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patirtimi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gebėtų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rinktis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veiklos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būdą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priemones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išsakytų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nuomonę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analizuotų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klasifikuotų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sintezuotų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potyrius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mokytųsi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reflektuoti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numatytų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tolesnės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produktyvios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veiklos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kryptį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          </w:t>
      </w:r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UGDYMO NUOSTATOS</w:t>
      </w:r>
    </w:p>
    <w:p w:rsidR="00C30B01" w:rsidRPr="00C30B01" w:rsidRDefault="00C30B01" w:rsidP="00C30B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Puoselėjamos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kultūros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vertybės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tautos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tradicijų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kalbos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papročių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metų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laikų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rato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įprasminimas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Siekiama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fizinė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psichinė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emocinė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gerovė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–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sveikatos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stiprinimas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fizinio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aktyvumo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užtikrinimas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sveikos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gyvensenos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įgūdžių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formavimas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emocinės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savijautos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gerinimas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Stiprinamas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savireguliacijos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savikontrolės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pasitikėjimo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savimi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jausmas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Tenkinamas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bendravimo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bendradarbiavimo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poreikis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mokymasis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kartu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keičiantis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idėjomis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sumanymais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Išlaisvinama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vaizduotė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skatinama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kūryba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saviraiška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originalumas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prigimtinių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gebėjimų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plėtojimas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Ugdomas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pozityvus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požiūris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į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aplinką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įvaldant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savęs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aplinkos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pažinimo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būdus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 EDUKACINĖS ERDVĖS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proofErr w:type="gram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Kalbos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– 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rami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jauki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patogi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vieta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skirta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bendrauti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klausytis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pasakojimų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skaityti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vartyti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knygeles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pasakoti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žiūrint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iliustracijas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paveikslėlius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nuotraukas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klausytis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audio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video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įrašų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gaminti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knygeles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žaisti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raidėmis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 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daug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kurios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nuteiktų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inspiruotų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kalbėtis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pasakoti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kurti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klausytis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draugų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išreikšti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  <w:proofErr w:type="gramEnd"/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Gamtos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–</w:t>
      </w:r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vieta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kurioje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auginami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augalai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kaupiama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gamtinė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medžiaga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laikomos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eksperimentavimui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bandymams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atlikti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gamtos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kalendoriai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matavimo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kolekcijos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mikroskopas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magnetai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laikrodžiai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gamtinių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medžiagų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 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rinkiniai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Meninės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veiklos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–</w:t>
      </w:r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vieta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meninei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kūrybai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saviraiškai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.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Įvairaus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dydžio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spalvotas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popierius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įvairaus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dydžio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teptukai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tapymui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piešimui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guašu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.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Žirklės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indeliai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paletės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molbertai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aplikacijai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lipdymui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.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Kampelio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tvarkymui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: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šluostės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kempinės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indai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rankšluosčiai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Šeimos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–</w:t>
      </w:r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vieta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vaidmenų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kūrybiniams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improvizaciniams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žaidimams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žaisti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.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Jį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gali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sudaryti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lėlyčių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migdymo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maisto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ruošimo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lėlių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valgydinimo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erdvės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. 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lėlių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gamybai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patalėlių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komplektai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staltiesėlės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dydžio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indai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Stalo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žaidimų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– 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rami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vieta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žaidimams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stalo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konstruktoriais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mozaikomis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dėlionės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loto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šaškės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šachmatai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geometrinės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figūros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skaitmenys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trafaretai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galvosūkiai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antspaudai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paveikslėliai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–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užduotys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Judėjimo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muzikos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vaidybos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 –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judėjimui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tenkinti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kampelis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kuriame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visada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galima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rasti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sportinio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inventoriaus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ritminiams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pratimams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atlikti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muzikinių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instrumentų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judesio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mimikos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dramatizavimui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skirtos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įvairiausios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priemonės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Paminėtos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tik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kelios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edukacinės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erdvės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nes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jos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kuriamos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tariantis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vaikais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erdvės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kintamos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papildomos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mobilios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funkcionalios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kaskart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atnaujinamos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.</w:t>
      </w:r>
    </w:p>
    <w:p w:rsidR="00C30B01" w:rsidRPr="00C30B01" w:rsidRDefault="00C30B01" w:rsidP="00C30B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C30B01">
        <w:rPr>
          <w:rFonts w:ascii="Arial" w:eastAsia="Times New Roman" w:hAnsi="Arial" w:cs="Arial"/>
          <w:b/>
          <w:bCs/>
          <w:i/>
          <w:iCs/>
          <w:color w:val="444545"/>
          <w:sz w:val="21"/>
          <w:szCs w:val="21"/>
          <w:lang w:eastAsia="ru-RU"/>
        </w:rPr>
        <w:t> VAIKŲ UGDYMOSI PROCESO YPATUMAI</w:t>
      </w:r>
    </w:p>
    <w:p w:rsidR="00C30B01" w:rsidRPr="00C30B01" w:rsidRDefault="00C30B01" w:rsidP="00C30B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Kiekvienas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gyvena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pagal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jo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individualų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ritmą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nepažeidžiant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kitų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interesų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Vyrauja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aktyvios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vaikų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veiklos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ramios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veiklos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kaita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Vaikai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renkasi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veiklą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veikia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individualiai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veikia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draugais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nedidelėmis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grupelėmis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veikia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visi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kartu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;</w:t>
      </w:r>
    </w:p>
    <w:p w:rsidR="00C30B01" w:rsidRPr="00C30B01" w:rsidRDefault="00C30B01" w:rsidP="00C30B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Ugdymosi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procese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skatinama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veiklos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darna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: 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fizinė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 –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lavinanti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kūną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, 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psichinė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 </w:t>
      </w:r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–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ugdanti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protą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žadinanti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emocijas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,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jausmus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, </w:t>
      </w:r>
      <w:proofErr w:type="spellStart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socialinė</w:t>
      </w:r>
      <w:proofErr w:type="spellEnd"/>
      <w:r w:rsidRPr="00C30B01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 </w:t>
      </w:r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–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lavinanti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ir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skatinanti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</w:t>
      </w:r>
      <w:proofErr w:type="spellStart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socializaciją</w:t>
      </w:r>
      <w:proofErr w:type="spellEnd"/>
      <w:r w:rsidRPr="00C30B01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.</w:t>
      </w:r>
    </w:p>
    <w:p w:rsidR="00905946" w:rsidRDefault="00C30B01">
      <w:bookmarkStart w:id="0" w:name="_GoBack"/>
      <w:bookmarkEnd w:id="0"/>
    </w:p>
    <w:sectPr w:rsidR="0090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E00"/>
    <w:multiLevelType w:val="multilevel"/>
    <w:tmpl w:val="DEF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577186"/>
    <w:multiLevelType w:val="multilevel"/>
    <w:tmpl w:val="D71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EF2266"/>
    <w:multiLevelType w:val="multilevel"/>
    <w:tmpl w:val="C53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01"/>
    <w:rsid w:val="0090456E"/>
    <w:rsid w:val="00C30B01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1</cp:revision>
  <dcterms:created xsi:type="dcterms:W3CDTF">2021-06-24T07:27:00Z</dcterms:created>
  <dcterms:modified xsi:type="dcterms:W3CDTF">2021-06-24T07:27:00Z</dcterms:modified>
</cp:coreProperties>
</file>