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DB" w:rsidRPr="00750E36" w:rsidRDefault="006030DB" w:rsidP="00D23992">
      <w:pPr>
        <w:pStyle w:val="Default"/>
        <w:ind w:left="708"/>
        <w:rPr>
          <w:sz w:val="26"/>
          <w:szCs w:val="26"/>
          <w:lang w:val="lt-LT"/>
        </w:rPr>
      </w:pPr>
    </w:p>
    <w:p w:rsidR="006030DB" w:rsidRPr="00750E36" w:rsidRDefault="00750E36" w:rsidP="00D23992">
      <w:pPr>
        <w:pStyle w:val="Default"/>
        <w:ind w:left="708"/>
        <w:jc w:val="center"/>
        <w:rPr>
          <w:sz w:val="26"/>
          <w:szCs w:val="26"/>
          <w:lang w:val="lt-LT"/>
        </w:rPr>
      </w:pPr>
      <w:r>
        <w:rPr>
          <w:b/>
          <w:bCs/>
          <w:sz w:val="26"/>
          <w:szCs w:val="26"/>
          <w:lang w:val="lt-LT"/>
        </w:rPr>
        <w:t>ŠALČININKŲ R.</w:t>
      </w:r>
      <w:r w:rsidR="006030DB" w:rsidRPr="00750E36">
        <w:rPr>
          <w:b/>
          <w:bCs/>
          <w:sz w:val="26"/>
          <w:szCs w:val="26"/>
          <w:lang w:val="lt-LT"/>
        </w:rPr>
        <w:t xml:space="preserve"> </w:t>
      </w:r>
      <w:r>
        <w:rPr>
          <w:b/>
          <w:bCs/>
          <w:sz w:val="26"/>
          <w:szCs w:val="26"/>
          <w:lang w:val="lt-LT"/>
        </w:rPr>
        <w:t>JAŠIŪNŲ LOPŠELIO – DARŽELIO „ŽILVITIS</w:t>
      </w:r>
      <w:r w:rsidR="006030DB" w:rsidRPr="00750E36">
        <w:rPr>
          <w:b/>
          <w:bCs/>
          <w:sz w:val="26"/>
          <w:szCs w:val="26"/>
          <w:lang w:val="lt-LT"/>
        </w:rPr>
        <w:t>“</w:t>
      </w:r>
    </w:p>
    <w:p w:rsidR="006030DB" w:rsidRPr="00750E36" w:rsidRDefault="006030DB" w:rsidP="00D23992">
      <w:pPr>
        <w:pStyle w:val="Default"/>
        <w:ind w:left="708"/>
        <w:jc w:val="center"/>
        <w:rPr>
          <w:b/>
          <w:bCs/>
          <w:sz w:val="26"/>
          <w:szCs w:val="26"/>
          <w:lang w:val="lt-LT"/>
        </w:rPr>
      </w:pPr>
      <w:r w:rsidRPr="00750E36">
        <w:rPr>
          <w:b/>
          <w:bCs/>
          <w:sz w:val="26"/>
          <w:szCs w:val="26"/>
          <w:lang w:val="lt-LT"/>
        </w:rPr>
        <w:t>DIREKTORIUS</w:t>
      </w:r>
    </w:p>
    <w:p w:rsidR="006030DB" w:rsidRDefault="006030DB" w:rsidP="00D23992">
      <w:pPr>
        <w:pStyle w:val="Default"/>
        <w:ind w:left="708"/>
        <w:jc w:val="center"/>
        <w:rPr>
          <w:sz w:val="26"/>
          <w:szCs w:val="26"/>
          <w:lang w:val="lt-LT"/>
        </w:rPr>
      </w:pPr>
    </w:p>
    <w:p w:rsidR="00750E36" w:rsidRPr="00750E36" w:rsidRDefault="00750E36" w:rsidP="00D23992">
      <w:pPr>
        <w:pStyle w:val="Default"/>
        <w:ind w:left="708"/>
        <w:jc w:val="center"/>
        <w:rPr>
          <w:sz w:val="26"/>
          <w:szCs w:val="26"/>
          <w:lang w:val="lt-LT"/>
        </w:rPr>
      </w:pPr>
    </w:p>
    <w:p w:rsidR="006030DB" w:rsidRPr="00750E36" w:rsidRDefault="006030DB" w:rsidP="00D23992">
      <w:pPr>
        <w:pStyle w:val="Default"/>
        <w:ind w:left="708"/>
        <w:jc w:val="center"/>
        <w:rPr>
          <w:sz w:val="26"/>
          <w:szCs w:val="26"/>
          <w:lang w:val="lt-LT"/>
        </w:rPr>
      </w:pPr>
      <w:r w:rsidRPr="00750E36">
        <w:rPr>
          <w:b/>
          <w:bCs/>
          <w:sz w:val="26"/>
          <w:szCs w:val="26"/>
          <w:lang w:val="lt-LT"/>
        </w:rPr>
        <w:t>ĮSAKYMAS</w:t>
      </w:r>
    </w:p>
    <w:p w:rsidR="006030DB" w:rsidRPr="00750E36" w:rsidRDefault="00750E36" w:rsidP="00D23992">
      <w:pPr>
        <w:pStyle w:val="Default"/>
        <w:ind w:left="708"/>
        <w:jc w:val="center"/>
        <w:rPr>
          <w:sz w:val="26"/>
          <w:szCs w:val="26"/>
          <w:lang w:val="lt-LT"/>
        </w:rPr>
      </w:pPr>
      <w:r>
        <w:rPr>
          <w:b/>
          <w:bCs/>
          <w:sz w:val="26"/>
          <w:szCs w:val="26"/>
          <w:lang w:val="lt-LT"/>
        </w:rPr>
        <w:t>DĖL JAŠIŪNŲ LOPŠELIO-DARŽELIO ”ŽILVITIS</w:t>
      </w:r>
      <w:r w:rsidR="006030DB" w:rsidRPr="00750E36">
        <w:rPr>
          <w:b/>
          <w:bCs/>
          <w:sz w:val="26"/>
          <w:szCs w:val="26"/>
          <w:lang w:val="lt-LT"/>
        </w:rPr>
        <w:t>” SUPAPRASTINTŲ VIEŠŲJŲ PIRK</w:t>
      </w:r>
      <w:r>
        <w:rPr>
          <w:b/>
          <w:bCs/>
          <w:sz w:val="26"/>
          <w:szCs w:val="26"/>
          <w:lang w:val="lt-LT"/>
        </w:rPr>
        <w:t>IMŲ TAISYKLIŲ 2015 M. SAUSIO 26 D. ĮSAK. NR.V-9</w:t>
      </w:r>
      <w:r w:rsidR="006030DB" w:rsidRPr="00750E36">
        <w:rPr>
          <w:b/>
          <w:bCs/>
          <w:sz w:val="26"/>
          <w:szCs w:val="26"/>
          <w:lang w:val="lt-LT"/>
        </w:rPr>
        <w:t xml:space="preserve"> PRIPAŽINIMO NEGALIOJANČIOMIS</w:t>
      </w:r>
    </w:p>
    <w:p w:rsidR="006030DB" w:rsidRPr="00750E36" w:rsidRDefault="006030DB" w:rsidP="00D23992">
      <w:pPr>
        <w:pStyle w:val="Default"/>
        <w:ind w:left="708"/>
        <w:jc w:val="center"/>
        <w:rPr>
          <w:sz w:val="26"/>
          <w:szCs w:val="26"/>
          <w:lang w:val="lt-LT"/>
        </w:rPr>
      </w:pPr>
      <w:r w:rsidRPr="00750E36">
        <w:rPr>
          <w:b/>
          <w:bCs/>
          <w:sz w:val="26"/>
          <w:szCs w:val="26"/>
          <w:lang w:val="lt-LT"/>
        </w:rPr>
        <w:t>IR</w:t>
      </w:r>
    </w:p>
    <w:p w:rsidR="006030DB" w:rsidRPr="00750E36" w:rsidRDefault="00750E36" w:rsidP="00D23992">
      <w:pPr>
        <w:pStyle w:val="Default"/>
        <w:ind w:left="708"/>
        <w:jc w:val="center"/>
        <w:rPr>
          <w:b/>
          <w:bCs/>
          <w:sz w:val="26"/>
          <w:szCs w:val="26"/>
          <w:lang w:val="lt-LT"/>
        </w:rPr>
      </w:pPr>
      <w:r>
        <w:rPr>
          <w:b/>
          <w:bCs/>
          <w:sz w:val="26"/>
          <w:szCs w:val="26"/>
          <w:lang w:val="lt-LT"/>
        </w:rPr>
        <w:t xml:space="preserve">DĖL </w:t>
      </w:r>
      <w:r w:rsidR="00524248">
        <w:rPr>
          <w:b/>
          <w:bCs/>
          <w:sz w:val="26"/>
          <w:szCs w:val="26"/>
          <w:lang w:val="lt-LT"/>
        </w:rPr>
        <w:t xml:space="preserve">ŠALČININKŲ R. </w:t>
      </w:r>
      <w:r>
        <w:rPr>
          <w:b/>
          <w:bCs/>
          <w:sz w:val="26"/>
          <w:szCs w:val="26"/>
          <w:lang w:val="lt-LT"/>
        </w:rPr>
        <w:t>JAŠIŪNŲ LOPŠELIO-DARŽELIO „ŽILVITIS</w:t>
      </w:r>
      <w:r w:rsidR="006030DB" w:rsidRPr="00750E36">
        <w:rPr>
          <w:b/>
          <w:bCs/>
          <w:sz w:val="26"/>
          <w:szCs w:val="26"/>
          <w:lang w:val="lt-LT"/>
        </w:rPr>
        <w:t xml:space="preserve">” MAŽOS VERTĖS PIRKIMŲ </w:t>
      </w:r>
      <w:r w:rsidR="002D50AB">
        <w:rPr>
          <w:b/>
          <w:bCs/>
          <w:sz w:val="26"/>
          <w:szCs w:val="26"/>
          <w:lang w:val="lt-LT"/>
        </w:rPr>
        <w:t xml:space="preserve">VIDAUS </w:t>
      </w:r>
      <w:r w:rsidR="006030DB" w:rsidRPr="00750E36">
        <w:rPr>
          <w:b/>
          <w:bCs/>
          <w:sz w:val="26"/>
          <w:szCs w:val="26"/>
          <w:lang w:val="lt-LT"/>
        </w:rPr>
        <w:t>TVARKOS APRAŠO PATVIRTINIMO</w:t>
      </w:r>
    </w:p>
    <w:p w:rsidR="006030DB" w:rsidRPr="00750E36" w:rsidRDefault="006030DB" w:rsidP="00D23992">
      <w:pPr>
        <w:pStyle w:val="Default"/>
        <w:ind w:left="708"/>
        <w:jc w:val="center"/>
        <w:rPr>
          <w:sz w:val="26"/>
          <w:szCs w:val="26"/>
          <w:lang w:val="lt-LT"/>
        </w:rPr>
      </w:pPr>
    </w:p>
    <w:p w:rsidR="006030DB" w:rsidRPr="00750E36" w:rsidRDefault="00750E36" w:rsidP="00D23992">
      <w:pPr>
        <w:pStyle w:val="Default"/>
        <w:ind w:left="708"/>
        <w:jc w:val="center"/>
        <w:rPr>
          <w:sz w:val="26"/>
          <w:szCs w:val="26"/>
          <w:lang w:val="lt-LT"/>
        </w:rPr>
      </w:pPr>
      <w:r>
        <w:rPr>
          <w:sz w:val="26"/>
          <w:szCs w:val="26"/>
          <w:lang w:val="lt-LT"/>
        </w:rPr>
        <w:t>2017 12 21 Nr. V- 68</w:t>
      </w:r>
    </w:p>
    <w:p w:rsidR="006030DB" w:rsidRPr="00750E36" w:rsidRDefault="00750E36" w:rsidP="00D23992">
      <w:pPr>
        <w:pStyle w:val="Default"/>
        <w:ind w:left="708"/>
        <w:jc w:val="center"/>
        <w:rPr>
          <w:sz w:val="26"/>
          <w:szCs w:val="26"/>
          <w:lang w:val="lt-LT"/>
        </w:rPr>
      </w:pPr>
      <w:r>
        <w:rPr>
          <w:sz w:val="26"/>
          <w:szCs w:val="26"/>
          <w:lang w:val="lt-LT"/>
        </w:rPr>
        <w:t>Jašiūnai</w:t>
      </w:r>
    </w:p>
    <w:p w:rsidR="006030DB" w:rsidRPr="00750E36" w:rsidRDefault="006030DB" w:rsidP="00D23992">
      <w:pPr>
        <w:pStyle w:val="Default"/>
        <w:ind w:left="708"/>
        <w:jc w:val="center"/>
        <w:rPr>
          <w:sz w:val="26"/>
          <w:szCs w:val="26"/>
          <w:lang w:val="lt-LT"/>
        </w:rPr>
      </w:pPr>
    </w:p>
    <w:p w:rsidR="006030DB" w:rsidRPr="00750E36" w:rsidRDefault="006030DB" w:rsidP="00D23992">
      <w:pPr>
        <w:pStyle w:val="Default"/>
        <w:ind w:left="708"/>
        <w:rPr>
          <w:sz w:val="26"/>
          <w:szCs w:val="26"/>
          <w:lang w:val="lt-LT"/>
        </w:rPr>
      </w:pPr>
      <w:r w:rsidRPr="00750E36">
        <w:rPr>
          <w:sz w:val="26"/>
          <w:szCs w:val="26"/>
          <w:lang w:val="lt-LT"/>
        </w:rPr>
        <w:t xml:space="preserve">  </w:t>
      </w:r>
    </w:p>
    <w:p w:rsidR="00750E36" w:rsidRPr="00750E36" w:rsidRDefault="00750E36" w:rsidP="00D23992">
      <w:pPr>
        <w:pStyle w:val="Default"/>
        <w:ind w:left="708"/>
        <w:rPr>
          <w:sz w:val="26"/>
          <w:szCs w:val="26"/>
          <w:lang w:val="lt-LT"/>
        </w:rPr>
      </w:pPr>
    </w:p>
    <w:p w:rsidR="00750E36" w:rsidRPr="00750E36" w:rsidRDefault="00750E36" w:rsidP="00D23992">
      <w:pPr>
        <w:spacing w:after="0" w:line="240" w:lineRule="auto"/>
        <w:ind w:left="708" w:firstLine="720"/>
        <w:jc w:val="both"/>
        <w:rPr>
          <w:rFonts w:ascii="Times New Roman" w:eastAsia="Times New Roman" w:hAnsi="Times New Roman" w:cs="Times New Roman"/>
          <w:sz w:val="26"/>
          <w:szCs w:val="26"/>
          <w:lang w:val="lt-LT" w:eastAsia="ru-RU"/>
        </w:rPr>
      </w:pPr>
      <w:r w:rsidRPr="00750E36">
        <w:rPr>
          <w:rFonts w:ascii="Times New Roman" w:eastAsia="Times New Roman" w:hAnsi="Times New Roman" w:cs="Times New Roman"/>
          <w:sz w:val="26"/>
          <w:szCs w:val="26"/>
          <w:lang w:val="lt-LT" w:eastAsia="ru-RU"/>
        </w:rPr>
        <w:t xml:space="preserve">Vadovaudamasis Lietuvos Respublikos viešųjų pirkimų įstatymo </w:t>
      </w:r>
      <w:r w:rsidRPr="00750E36">
        <w:rPr>
          <w:rFonts w:ascii="Times New Roman" w:eastAsia="Times New Roman" w:hAnsi="Times New Roman" w:cs="Times New Roman"/>
          <w:bCs/>
          <w:caps/>
          <w:sz w:val="26"/>
          <w:szCs w:val="26"/>
          <w:lang w:val="lt-LT" w:eastAsia="ru-RU"/>
        </w:rPr>
        <w:t>NR. I-1491</w:t>
      </w:r>
      <w:r w:rsidRPr="00750E36">
        <w:rPr>
          <w:rFonts w:ascii="Times New Roman" w:eastAsia="Times New Roman" w:hAnsi="Times New Roman" w:cs="Times New Roman"/>
          <w:bCs/>
          <w:sz w:val="26"/>
          <w:szCs w:val="26"/>
          <w:lang w:val="lt-LT" w:eastAsia="ru-RU"/>
        </w:rPr>
        <w:t xml:space="preserve"> pakeitimo įstatymu </w:t>
      </w:r>
      <w:r w:rsidRPr="00750E36">
        <w:rPr>
          <w:rFonts w:ascii="Times New Roman" w:eastAsia="Times New Roman" w:hAnsi="Times New Roman" w:cs="Times New Roman"/>
          <w:sz w:val="26"/>
          <w:szCs w:val="26"/>
          <w:lang w:val="lt-LT" w:eastAsia="ru-RU"/>
        </w:rPr>
        <w:t xml:space="preserve">2017 m. gegužės mėn. 2 d. Nr. XIII-327 </w:t>
      </w:r>
      <w:r w:rsidRPr="00750E36">
        <w:rPr>
          <w:rFonts w:ascii="Times New Roman" w:eastAsia="Times New Roman" w:hAnsi="Times New Roman" w:cs="Times New Roman"/>
          <w:bCs/>
          <w:caps/>
          <w:sz w:val="26"/>
          <w:szCs w:val="26"/>
          <w:lang w:val="lt-LT" w:eastAsia="ru-RU"/>
        </w:rPr>
        <w:t xml:space="preserve"> </w:t>
      </w:r>
      <w:r w:rsidRPr="00750E36">
        <w:rPr>
          <w:rFonts w:ascii="Times New Roman" w:eastAsia="Times New Roman" w:hAnsi="Times New Roman" w:cs="Times New Roman"/>
          <w:bCs/>
          <w:sz w:val="26"/>
          <w:szCs w:val="26"/>
          <w:lang w:val="lt-LT" w:eastAsia="ru-RU"/>
        </w:rPr>
        <w:t xml:space="preserve">ir </w:t>
      </w:r>
      <w:r w:rsidRPr="00750E36">
        <w:rPr>
          <w:rFonts w:ascii="Times New Roman" w:eastAsia="Times New Roman" w:hAnsi="Times New Roman" w:cs="Times New Roman"/>
          <w:color w:val="000000"/>
          <w:sz w:val="26"/>
          <w:szCs w:val="26"/>
          <w:lang w:val="lt-LT" w:eastAsia="ru-RU"/>
        </w:rPr>
        <w:t xml:space="preserve">Viešųjų pirkimų tarnybos direktoriaus </w:t>
      </w:r>
      <w:r w:rsidRPr="00750E36">
        <w:rPr>
          <w:rFonts w:ascii="Times New Roman" w:eastAsia="Times New Roman" w:hAnsi="Times New Roman" w:cs="Times New Roman"/>
          <w:sz w:val="26"/>
          <w:szCs w:val="26"/>
          <w:lang w:val="lt-LT" w:eastAsia="ru-RU"/>
        </w:rPr>
        <w:t>2017 m. birželio mėn. 28 d. įsakymu Nr. 1S-97</w:t>
      </w:r>
      <w:r w:rsidRPr="00750E36">
        <w:rPr>
          <w:rFonts w:ascii="Times New Roman" w:eastAsia="Times New Roman" w:hAnsi="Times New Roman" w:cs="Times New Roman"/>
          <w:bCs/>
          <w:caps/>
          <w:sz w:val="26"/>
          <w:szCs w:val="26"/>
          <w:lang w:val="lt-LT" w:eastAsia="ru-RU"/>
        </w:rPr>
        <w:t>:</w:t>
      </w:r>
    </w:p>
    <w:p w:rsidR="00750E36" w:rsidRPr="00750E36" w:rsidRDefault="00622A40" w:rsidP="00D23992">
      <w:pPr>
        <w:suppressAutoHyphens/>
        <w:spacing w:after="0" w:line="240" w:lineRule="auto"/>
        <w:ind w:left="1788" w:hanging="360"/>
        <w:jc w:val="both"/>
        <w:textAlignment w:val="center"/>
        <w:rPr>
          <w:rFonts w:ascii="Times New Roman" w:eastAsia="Times New Roman" w:hAnsi="Times New Roman" w:cs="Times New Roman"/>
          <w:color w:val="000000"/>
          <w:sz w:val="26"/>
          <w:szCs w:val="26"/>
          <w:lang w:val="lt-LT" w:eastAsia="ru-RU"/>
        </w:rPr>
      </w:pPr>
      <w:r>
        <w:rPr>
          <w:rFonts w:ascii="Times New Roman" w:eastAsia="Times New Roman" w:hAnsi="Times New Roman" w:cs="Times New Roman"/>
          <w:sz w:val="26"/>
          <w:szCs w:val="26"/>
          <w:lang w:val="lt-LT" w:eastAsia="ru-RU"/>
        </w:rPr>
        <w:t>1.</w:t>
      </w:r>
      <w:r>
        <w:rPr>
          <w:rFonts w:ascii="Times New Roman" w:eastAsia="Times New Roman" w:hAnsi="Times New Roman" w:cs="Times New Roman"/>
          <w:sz w:val="26"/>
          <w:szCs w:val="26"/>
          <w:lang w:val="lt-LT" w:eastAsia="ru-RU"/>
        </w:rPr>
        <w:tab/>
        <w:t xml:space="preserve">N </w:t>
      </w:r>
      <w:r w:rsidR="00750E36" w:rsidRPr="00750E36">
        <w:rPr>
          <w:rFonts w:ascii="Times New Roman" w:eastAsia="Times New Roman" w:hAnsi="Times New Roman" w:cs="Times New Roman"/>
          <w:sz w:val="26"/>
          <w:szCs w:val="26"/>
          <w:lang w:val="lt-LT" w:eastAsia="ru-RU"/>
        </w:rPr>
        <w:t>u s t a t a u, kad</w:t>
      </w:r>
      <w:r w:rsidR="00750E36">
        <w:rPr>
          <w:rFonts w:ascii="Times New Roman" w:eastAsia="Times New Roman" w:hAnsi="Times New Roman" w:cs="Times New Roman"/>
          <w:bCs/>
          <w:sz w:val="26"/>
          <w:szCs w:val="26"/>
          <w:lang w:val="fi-FI" w:eastAsia="ru-RU"/>
        </w:rPr>
        <w:t xml:space="preserve"> Šalčininkų r. Jašiūnų lopšelio-darželio </w:t>
      </w:r>
      <w:r w:rsidR="00750E36">
        <w:rPr>
          <w:rFonts w:ascii="Times New Roman" w:eastAsia="Times New Roman" w:hAnsi="Times New Roman" w:cs="Times New Roman"/>
          <w:bCs/>
          <w:sz w:val="26"/>
          <w:szCs w:val="26"/>
          <w:lang w:val="lt-LT" w:eastAsia="ru-RU"/>
        </w:rPr>
        <w:t>„</w:t>
      </w:r>
      <w:r w:rsidR="00750E36" w:rsidRPr="00750E36">
        <w:rPr>
          <w:rFonts w:ascii="Times New Roman" w:eastAsia="Times New Roman" w:hAnsi="Times New Roman" w:cs="Times New Roman"/>
          <w:bCs/>
          <w:sz w:val="26"/>
          <w:szCs w:val="26"/>
          <w:lang w:val="lt-LT" w:eastAsia="ru-RU"/>
        </w:rPr>
        <w:t>Žilvitis”</w:t>
      </w:r>
      <w:r w:rsidR="00750E36">
        <w:rPr>
          <w:rFonts w:ascii="Times New Roman" w:eastAsia="Times New Roman" w:hAnsi="Times New Roman" w:cs="Times New Roman"/>
          <w:bCs/>
          <w:sz w:val="26"/>
          <w:szCs w:val="26"/>
          <w:lang w:val="fi-FI" w:eastAsia="ru-RU"/>
        </w:rPr>
        <w:t xml:space="preserve"> </w:t>
      </w:r>
      <w:r w:rsidRPr="00622A40">
        <w:rPr>
          <w:rFonts w:ascii="Times New Roman" w:eastAsia="Times New Roman" w:hAnsi="Times New Roman" w:cs="Times New Roman"/>
          <w:bCs/>
          <w:sz w:val="26"/>
          <w:szCs w:val="26"/>
          <w:lang w:val="lt-LT" w:eastAsia="ru-RU"/>
        </w:rPr>
        <w:t>supaprastintų viešųjų pirkimų taisykles</w:t>
      </w:r>
      <w:r>
        <w:rPr>
          <w:rFonts w:ascii="Times New Roman" w:eastAsia="Times New Roman" w:hAnsi="Times New Roman" w:cs="Times New Roman"/>
          <w:bCs/>
          <w:sz w:val="26"/>
          <w:szCs w:val="26"/>
          <w:lang w:val="lt-LT" w:eastAsia="ru-RU"/>
        </w:rPr>
        <w:t>,</w:t>
      </w:r>
      <w:r>
        <w:rPr>
          <w:rFonts w:ascii="Times New Roman" w:eastAsia="Times New Roman" w:hAnsi="Times New Roman" w:cs="Times New Roman"/>
          <w:bCs/>
          <w:sz w:val="26"/>
          <w:szCs w:val="26"/>
          <w:lang w:val="fi-FI" w:eastAsia="ru-RU"/>
        </w:rPr>
        <w:t xml:space="preserve"> </w:t>
      </w:r>
      <w:r>
        <w:rPr>
          <w:rFonts w:ascii="Times New Roman" w:eastAsia="Times New Roman" w:hAnsi="Times New Roman" w:cs="Times New Roman"/>
          <w:sz w:val="26"/>
          <w:szCs w:val="26"/>
          <w:lang w:val="lt-LT" w:eastAsia="ru-RU"/>
        </w:rPr>
        <w:t>paskelbto</w:t>
      </w:r>
      <w:r w:rsidR="00750E36" w:rsidRPr="00750E36">
        <w:rPr>
          <w:rFonts w:ascii="Times New Roman" w:eastAsia="Times New Roman" w:hAnsi="Times New Roman" w:cs="Times New Roman"/>
          <w:sz w:val="26"/>
          <w:szCs w:val="26"/>
          <w:lang w:val="lt-LT" w:eastAsia="ru-RU"/>
        </w:rPr>
        <w:t xml:space="preserve">s </w:t>
      </w:r>
      <w:r w:rsidR="00750E36" w:rsidRPr="00750E36">
        <w:rPr>
          <w:rFonts w:ascii="Times New Roman" w:eastAsia="Times New Roman" w:hAnsi="Times New Roman" w:cs="Times New Roman"/>
          <w:color w:val="000000"/>
          <w:sz w:val="26"/>
          <w:szCs w:val="26"/>
          <w:lang w:val="lt-LT" w:eastAsia="ru-RU"/>
        </w:rPr>
        <w:t>2015</w:t>
      </w:r>
      <w:r w:rsidR="00750E36">
        <w:rPr>
          <w:rFonts w:ascii="Times New Roman" w:eastAsia="Times New Roman" w:hAnsi="Times New Roman" w:cs="Times New Roman"/>
          <w:color w:val="000000"/>
          <w:sz w:val="26"/>
          <w:szCs w:val="26"/>
          <w:lang w:val="lt-LT" w:eastAsia="ru-RU"/>
        </w:rPr>
        <w:t xml:space="preserve"> </w:t>
      </w:r>
      <w:r w:rsidR="00750E36" w:rsidRPr="00750E36">
        <w:rPr>
          <w:rFonts w:ascii="Times New Roman" w:eastAsia="Times New Roman" w:hAnsi="Times New Roman" w:cs="Times New Roman"/>
          <w:color w:val="000000"/>
          <w:sz w:val="26"/>
          <w:szCs w:val="26"/>
          <w:lang w:val="lt-LT" w:eastAsia="ru-RU"/>
        </w:rPr>
        <w:t>m</w:t>
      </w:r>
      <w:r w:rsidR="00750E36">
        <w:rPr>
          <w:rFonts w:ascii="Times New Roman" w:eastAsia="Times New Roman" w:hAnsi="Times New Roman" w:cs="Times New Roman"/>
          <w:color w:val="000000"/>
          <w:sz w:val="26"/>
          <w:szCs w:val="26"/>
          <w:lang w:val="lt-LT" w:eastAsia="ru-RU"/>
        </w:rPr>
        <w:t>. sausio 26 d. įsakymu Nr. V- 9</w:t>
      </w:r>
      <w:r w:rsidR="00750E36" w:rsidRPr="00750E36">
        <w:rPr>
          <w:rFonts w:ascii="Times New Roman" w:eastAsia="Times New Roman" w:hAnsi="Times New Roman" w:cs="Times New Roman"/>
          <w:color w:val="000000"/>
          <w:sz w:val="26"/>
          <w:szCs w:val="26"/>
          <w:lang w:val="lt-LT" w:eastAsia="ru-RU"/>
        </w:rPr>
        <w:t xml:space="preserve"> laikyti negaliojančiomis. </w:t>
      </w:r>
    </w:p>
    <w:p w:rsidR="00750E36" w:rsidRPr="00750E36" w:rsidRDefault="00750E36" w:rsidP="00D23992">
      <w:pPr>
        <w:suppressAutoHyphens/>
        <w:spacing w:after="0" w:line="240" w:lineRule="auto"/>
        <w:ind w:left="1788" w:hanging="360"/>
        <w:jc w:val="both"/>
        <w:textAlignment w:val="center"/>
        <w:rPr>
          <w:rFonts w:ascii="Times New Roman" w:eastAsia="Times New Roman" w:hAnsi="Times New Roman" w:cs="Times New Roman"/>
          <w:sz w:val="26"/>
          <w:szCs w:val="26"/>
          <w:lang w:val="lt-LT" w:eastAsia="ru-RU"/>
        </w:rPr>
      </w:pPr>
      <w:r>
        <w:rPr>
          <w:rFonts w:ascii="Times New Roman" w:eastAsia="Times New Roman" w:hAnsi="Times New Roman" w:cs="Times New Roman"/>
          <w:sz w:val="26"/>
          <w:szCs w:val="26"/>
          <w:lang w:val="lt-LT" w:eastAsia="ru-RU"/>
        </w:rPr>
        <w:t xml:space="preserve">2.   T v i r t i n u </w:t>
      </w:r>
      <w:r>
        <w:rPr>
          <w:rFonts w:ascii="Times New Roman" w:eastAsia="Times New Roman" w:hAnsi="Times New Roman" w:cs="Times New Roman"/>
          <w:bCs/>
          <w:sz w:val="26"/>
          <w:szCs w:val="26"/>
          <w:lang w:val="fi-FI" w:eastAsia="ru-RU"/>
        </w:rPr>
        <w:t xml:space="preserve">Šalčininkų r. Jašiūnų lopšelio-darželio </w:t>
      </w:r>
      <w:r>
        <w:rPr>
          <w:rFonts w:ascii="Times New Roman" w:eastAsia="Times New Roman" w:hAnsi="Times New Roman" w:cs="Times New Roman"/>
          <w:bCs/>
          <w:sz w:val="26"/>
          <w:szCs w:val="26"/>
          <w:lang w:val="lt-LT" w:eastAsia="ru-RU"/>
        </w:rPr>
        <w:t>„Žilvitis“</w:t>
      </w:r>
      <w:r w:rsidR="00622A40">
        <w:rPr>
          <w:rFonts w:ascii="Times New Roman" w:eastAsia="Times New Roman" w:hAnsi="Times New Roman" w:cs="Times New Roman"/>
          <w:bCs/>
          <w:sz w:val="26"/>
          <w:szCs w:val="26"/>
          <w:lang w:val="lt-LT" w:eastAsia="ru-RU"/>
        </w:rPr>
        <w:t xml:space="preserve"> mažos vertės pirkimų </w:t>
      </w:r>
      <w:r w:rsidR="002D50AB">
        <w:rPr>
          <w:rFonts w:ascii="Times New Roman" w:eastAsia="Times New Roman" w:hAnsi="Times New Roman" w:cs="Times New Roman"/>
          <w:bCs/>
          <w:sz w:val="26"/>
          <w:szCs w:val="26"/>
          <w:lang w:val="lt-LT" w:eastAsia="ru-RU"/>
        </w:rPr>
        <w:t xml:space="preserve">vidaus </w:t>
      </w:r>
      <w:r w:rsidR="00622A40">
        <w:rPr>
          <w:rFonts w:ascii="Times New Roman" w:eastAsia="Times New Roman" w:hAnsi="Times New Roman" w:cs="Times New Roman"/>
          <w:bCs/>
          <w:sz w:val="26"/>
          <w:szCs w:val="26"/>
          <w:lang w:val="lt-LT" w:eastAsia="ru-RU"/>
        </w:rPr>
        <w:t>tvarkos aprašą</w:t>
      </w:r>
      <w:r>
        <w:rPr>
          <w:rFonts w:ascii="Times New Roman" w:eastAsia="Times New Roman" w:hAnsi="Times New Roman" w:cs="Times New Roman"/>
          <w:bCs/>
          <w:sz w:val="26"/>
          <w:szCs w:val="26"/>
          <w:lang w:val="lt-LT" w:eastAsia="ru-RU"/>
        </w:rPr>
        <w:t xml:space="preserve"> </w:t>
      </w:r>
      <w:r w:rsidR="00622A40">
        <w:rPr>
          <w:rFonts w:ascii="Times New Roman" w:eastAsia="Times New Roman" w:hAnsi="Times New Roman" w:cs="Times New Roman"/>
          <w:caps/>
          <w:sz w:val="26"/>
          <w:szCs w:val="26"/>
          <w:lang w:val="lt-LT" w:eastAsia="ru-RU"/>
        </w:rPr>
        <w:t xml:space="preserve"> </w:t>
      </w:r>
      <w:r w:rsidRPr="00750E36">
        <w:rPr>
          <w:rFonts w:ascii="Times New Roman" w:eastAsia="Times New Roman" w:hAnsi="Times New Roman" w:cs="Times New Roman"/>
          <w:sz w:val="26"/>
          <w:szCs w:val="26"/>
          <w:lang w:val="lt-LT" w:eastAsia="ru-RU"/>
        </w:rPr>
        <w:t>(pridedama).</w:t>
      </w:r>
    </w:p>
    <w:p w:rsidR="00750E36" w:rsidRPr="00750E36" w:rsidRDefault="00750E36" w:rsidP="00D23992">
      <w:pPr>
        <w:suppressAutoHyphens/>
        <w:spacing w:after="0" w:line="240" w:lineRule="auto"/>
        <w:ind w:left="1788" w:hanging="360"/>
        <w:jc w:val="both"/>
        <w:textAlignment w:val="center"/>
        <w:rPr>
          <w:rFonts w:ascii="Times New Roman" w:eastAsia="Times New Roman" w:hAnsi="Times New Roman" w:cs="Times New Roman"/>
          <w:sz w:val="26"/>
          <w:szCs w:val="26"/>
          <w:lang w:val="pl-PL" w:eastAsia="ru-RU"/>
        </w:rPr>
      </w:pPr>
      <w:r w:rsidRPr="00750E36">
        <w:rPr>
          <w:rFonts w:ascii="Times New Roman" w:eastAsia="Times New Roman" w:hAnsi="Times New Roman" w:cs="Times New Roman"/>
          <w:sz w:val="26"/>
          <w:szCs w:val="26"/>
          <w:lang w:val="pl-PL" w:eastAsia="ru-RU"/>
        </w:rPr>
        <w:t>3.</w:t>
      </w:r>
      <w:r w:rsidRPr="00750E36">
        <w:rPr>
          <w:rFonts w:ascii="Times New Roman" w:eastAsia="Times New Roman" w:hAnsi="Times New Roman" w:cs="Times New Roman"/>
          <w:sz w:val="26"/>
          <w:szCs w:val="26"/>
          <w:lang w:val="pl-PL" w:eastAsia="ru-RU"/>
        </w:rPr>
        <w:tab/>
      </w:r>
      <w:r w:rsidRPr="00750E36">
        <w:rPr>
          <w:rFonts w:ascii="Times New Roman" w:eastAsia="Times New Roman" w:hAnsi="Times New Roman" w:cs="Times New Roman"/>
          <w:sz w:val="26"/>
          <w:szCs w:val="26"/>
          <w:lang w:val="lt-LT" w:eastAsia="ru-RU"/>
        </w:rPr>
        <w:t>N u s t a t a u, kad šis įsakymas įsigalioja nuo 2017</w:t>
      </w:r>
      <w:r>
        <w:rPr>
          <w:rFonts w:ascii="Times New Roman" w:eastAsia="Times New Roman" w:hAnsi="Times New Roman" w:cs="Times New Roman"/>
          <w:sz w:val="26"/>
          <w:szCs w:val="26"/>
          <w:lang w:val="lt-LT" w:eastAsia="ru-RU"/>
        </w:rPr>
        <w:t xml:space="preserve"> </w:t>
      </w:r>
      <w:r w:rsidR="00622A40">
        <w:rPr>
          <w:rFonts w:ascii="Times New Roman" w:eastAsia="Times New Roman" w:hAnsi="Times New Roman" w:cs="Times New Roman"/>
          <w:sz w:val="26"/>
          <w:szCs w:val="26"/>
          <w:lang w:val="lt-LT" w:eastAsia="ru-RU"/>
        </w:rPr>
        <w:t>m. gruodžio 29</w:t>
      </w:r>
      <w:r w:rsidRPr="00750E36">
        <w:rPr>
          <w:rFonts w:ascii="Times New Roman" w:eastAsia="Times New Roman" w:hAnsi="Times New Roman" w:cs="Times New Roman"/>
          <w:sz w:val="26"/>
          <w:szCs w:val="26"/>
          <w:lang w:val="lt-LT" w:eastAsia="ru-RU"/>
        </w:rPr>
        <w:t xml:space="preserve"> d.</w:t>
      </w:r>
      <w:r w:rsidRPr="00750E36">
        <w:rPr>
          <w:rFonts w:ascii="Times New Roman" w:eastAsia="Times New Roman" w:hAnsi="Times New Roman" w:cs="Times New Roman"/>
          <w:sz w:val="26"/>
          <w:szCs w:val="26"/>
          <w:lang w:val="pl-PL" w:eastAsia="ru-RU"/>
        </w:rPr>
        <w:t xml:space="preserve"> </w:t>
      </w:r>
    </w:p>
    <w:p w:rsidR="00750E36" w:rsidRPr="00750E36" w:rsidRDefault="00750E36" w:rsidP="00D23992">
      <w:pPr>
        <w:suppressAutoHyphens/>
        <w:spacing w:after="0" w:line="240" w:lineRule="auto"/>
        <w:ind w:left="1788" w:hanging="360"/>
        <w:jc w:val="both"/>
        <w:textAlignment w:val="center"/>
        <w:rPr>
          <w:rFonts w:ascii="Times New Roman" w:eastAsia="Times New Roman" w:hAnsi="Times New Roman" w:cs="Times New Roman"/>
          <w:color w:val="FF0000"/>
          <w:sz w:val="26"/>
          <w:szCs w:val="26"/>
          <w:lang w:val="pl-PL" w:eastAsia="ru-RU"/>
        </w:rPr>
      </w:pPr>
    </w:p>
    <w:p w:rsidR="00750E36" w:rsidRPr="00750E36" w:rsidRDefault="00750E36" w:rsidP="00D23992">
      <w:pPr>
        <w:suppressAutoHyphens/>
        <w:spacing w:after="0" w:line="240" w:lineRule="auto"/>
        <w:ind w:left="1788" w:hanging="360"/>
        <w:jc w:val="both"/>
        <w:textAlignment w:val="center"/>
        <w:rPr>
          <w:rFonts w:ascii="Times New Roman" w:eastAsia="Times New Roman" w:hAnsi="Times New Roman" w:cs="Times New Roman"/>
          <w:color w:val="FF0000"/>
          <w:sz w:val="26"/>
          <w:szCs w:val="26"/>
          <w:lang w:val="pl-PL" w:eastAsia="ru-RU"/>
        </w:rPr>
      </w:pPr>
    </w:p>
    <w:p w:rsidR="00750E36" w:rsidRPr="00750E36" w:rsidRDefault="00750E36" w:rsidP="00D23992">
      <w:pPr>
        <w:suppressAutoHyphens/>
        <w:spacing w:after="0" w:line="240" w:lineRule="auto"/>
        <w:ind w:left="708"/>
        <w:jc w:val="both"/>
        <w:textAlignment w:val="center"/>
        <w:rPr>
          <w:rFonts w:ascii="Times New Roman" w:eastAsia="Times New Roman" w:hAnsi="Times New Roman" w:cs="Times New Roman"/>
          <w:sz w:val="26"/>
          <w:szCs w:val="26"/>
          <w:lang w:val="lt-LT" w:eastAsia="ru-RU"/>
        </w:rPr>
      </w:pPr>
      <w:r w:rsidRPr="00750E36">
        <w:rPr>
          <w:rFonts w:ascii="Times New Roman" w:eastAsia="Times New Roman" w:hAnsi="Times New Roman" w:cs="Times New Roman"/>
          <w:sz w:val="26"/>
          <w:szCs w:val="26"/>
          <w:lang w:val="lt-LT" w:eastAsia="ru-RU"/>
        </w:rPr>
        <w:t xml:space="preserve">Direktorė                   </w:t>
      </w:r>
      <w:r w:rsidR="00D23992">
        <w:rPr>
          <w:rFonts w:ascii="Times New Roman" w:eastAsia="Times New Roman" w:hAnsi="Times New Roman" w:cs="Times New Roman"/>
          <w:sz w:val="26"/>
          <w:szCs w:val="26"/>
          <w:lang w:val="lt-LT" w:eastAsia="ru-RU"/>
        </w:rPr>
        <w:t xml:space="preserve">                          </w:t>
      </w:r>
      <w:r>
        <w:rPr>
          <w:rFonts w:ascii="Times New Roman" w:eastAsia="Times New Roman" w:hAnsi="Times New Roman" w:cs="Times New Roman"/>
          <w:sz w:val="26"/>
          <w:szCs w:val="26"/>
          <w:lang w:val="lt-LT" w:eastAsia="ru-RU"/>
        </w:rPr>
        <w:t xml:space="preserve">              </w:t>
      </w:r>
      <w:r w:rsidR="00D23992">
        <w:rPr>
          <w:rFonts w:ascii="Times New Roman" w:eastAsia="Times New Roman" w:hAnsi="Times New Roman" w:cs="Times New Roman"/>
          <w:sz w:val="26"/>
          <w:szCs w:val="26"/>
          <w:lang w:val="lt-LT" w:eastAsia="ru-RU"/>
        </w:rPr>
        <w:t xml:space="preserve">                            </w:t>
      </w:r>
      <w:r>
        <w:rPr>
          <w:rFonts w:ascii="Times New Roman" w:eastAsia="Times New Roman" w:hAnsi="Times New Roman" w:cs="Times New Roman"/>
          <w:sz w:val="26"/>
          <w:szCs w:val="26"/>
          <w:lang w:val="lt-LT" w:eastAsia="ru-RU"/>
        </w:rPr>
        <w:t xml:space="preserve"> </w:t>
      </w:r>
      <w:r w:rsidRPr="00750E36">
        <w:rPr>
          <w:rFonts w:ascii="Times New Roman" w:eastAsia="Times New Roman" w:hAnsi="Times New Roman" w:cs="Times New Roman"/>
          <w:sz w:val="26"/>
          <w:szCs w:val="26"/>
          <w:lang w:val="lt-LT" w:eastAsia="ru-RU"/>
        </w:rPr>
        <w:t>Svetlana Bulavina</w:t>
      </w:r>
    </w:p>
    <w:p w:rsidR="00750E36" w:rsidRPr="00750E36" w:rsidRDefault="00750E36" w:rsidP="00D23992">
      <w:pPr>
        <w:pStyle w:val="Default"/>
        <w:ind w:left="708"/>
        <w:rPr>
          <w:sz w:val="26"/>
          <w:szCs w:val="26"/>
          <w:lang w:val="lt-LT"/>
        </w:rPr>
      </w:pPr>
    </w:p>
    <w:p w:rsidR="006030DB" w:rsidRPr="00750E36" w:rsidRDefault="006030DB" w:rsidP="00D23992">
      <w:pPr>
        <w:pStyle w:val="Default"/>
        <w:pageBreakBefore/>
        <w:ind w:left="708"/>
        <w:jc w:val="right"/>
        <w:rPr>
          <w:sz w:val="26"/>
          <w:szCs w:val="26"/>
          <w:lang w:val="lt-LT"/>
        </w:rPr>
      </w:pPr>
      <w:r w:rsidRPr="00750E36">
        <w:rPr>
          <w:sz w:val="26"/>
          <w:szCs w:val="26"/>
          <w:lang w:val="lt-LT"/>
        </w:rPr>
        <w:lastRenderedPageBreak/>
        <w:t xml:space="preserve">PATVIRTINTA </w:t>
      </w:r>
    </w:p>
    <w:p w:rsidR="00524248" w:rsidRDefault="00524248" w:rsidP="00D23992">
      <w:pPr>
        <w:pStyle w:val="Default"/>
        <w:ind w:left="708"/>
        <w:jc w:val="right"/>
        <w:rPr>
          <w:sz w:val="26"/>
          <w:szCs w:val="26"/>
          <w:lang w:val="lt-LT"/>
        </w:rPr>
      </w:pPr>
      <w:r>
        <w:rPr>
          <w:sz w:val="26"/>
          <w:szCs w:val="26"/>
          <w:lang w:val="lt-LT"/>
        </w:rPr>
        <w:t xml:space="preserve">Šalčininkų r. </w:t>
      </w:r>
      <w:r w:rsidR="00622A40">
        <w:rPr>
          <w:sz w:val="26"/>
          <w:szCs w:val="26"/>
          <w:lang w:val="lt-LT"/>
        </w:rPr>
        <w:t>Jašiūnų</w:t>
      </w:r>
      <w:r w:rsidR="002D50AB">
        <w:rPr>
          <w:sz w:val="26"/>
          <w:szCs w:val="26"/>
          <w:lang w:val="lt-LT"/>
        </w:rPr>
        <w:t xml:space="preserve"> lopšelio – darželio „Žilvitis</w:t>
      </w:r>
      <w:r w:rsidR="006030DB" w:rsidRPr="00750E36">
        <w:rPr>
          <w:sz w:val="26"/>
          <w:szCs w:val="26"/>
          <w:lang w:val="lt-LT"/>
        </w:rPr>
        <w:t>”</w:t>
      </w:r>
    </w:p>
    <w:p w:rsidR="00524248" w:rsidRDefault="00524248" w:rsidP="00524248">
      <w:pPr>
        <w:pStyle w:val="Default"/>
        <w:ind w:left="708"/>
        <w:rPr>
          <w:sz w:val="26"/>
          <w:szCs w:val="26"/>
          <w:lang w:val="lt-LT"/>
        </w:rPr>
      </w:pPr>
      <w:r>
        <w:rPr>
          <w:sz w:val="26"/>
          <w:szCs w:val="26"/>
          <w:lang w:val="lt-LT"/>
        </w:rPr>
        <w:t xml:space="preserve">                                                   </w:t>
      </w:r>
      <w:r w:rsidR="00622A40">
        <w:rPr>
          <w:sz w:val="26"/>
          <w:szCs w:val="26"/>
          <w:lang w:val="lt-LT"/>
        </w:rPr>
        <w:t xml:space="preserve"> </w:t>
      </w:r>
      <w:r w:rsidR="006030DB" w:rsidRPr="00750E36">
        <w:rPr>
          <w:sz w:val="26"/>
          <w:szCs w:val="26"/>
          <w:lang w:val="lt-LT"/>
        </w:rPr>
        <w:t xml:space="preserve">direktoriaus </w:t>
      </w:r>
      <w:r>
        <w:rPr>
          <w:sz w:val="26"/>
          <w:szCs w:val="26"/>
          <w:lang w:val="lt-LT"/>
        </w:rPr>
        <w:t xml:space="preserve">2017 m. gruodžio mėn. 21 d. įsakymu     </w:t>
      </w:r>
    </w:p>
    <w:p w:rsidR="00524248" w:rsidRPr="00750E36" w:rsidRDefault="00524248" w:rsidP="00524248">
      <w:pPr>
        <w:pStyle w:val="Default"/>
        <w:ind w:left="708"/>
        <w:rPr>
          <w:sz w:val="26"/>
          <w:szCs w:val="26"/>
          <w:lang w:val="lt-LT"/>
        </w:rPr>
      </w:pPr>
      <w:r>
        <w:rPr>
          <w:sz w:val="26"/>
          <w:szCs w:val="26"/>
          <w:lang w:val="lt-LT"/>
        </w:rPr>
        <w:t xml:space="preserve">                                                    Nr. V- 68</w:t>
      </w:r>
      <w:r w:rsidRPr="00750E36">
        <w:rPr>
          <w:sz w:val="26"/>
          <w:szCs w:val="26"/>
          <w:lang w:val="lt-LT"/>
        </w:rPr>
        <w:t xml:space="preserve"> </w:t>
      </w:r>
    </w:p>
    <w:p w:rsidR="006030DB" w:rsidRPr="00750E36" w:rsidRDefault="006030DB" w:rsidP="00524248">
      <w:pPr>
        <w:pStyle w:val="Default"/>
        <w:rPr>
          <w:sz w:val="26"/>
          <w:szCs w:val="26"/>
          <w:lang w:val="lt-LT"/>
        </w:rPr>
      </w:pPr>
    </w:p>
    <w:p w:rsidR="006030DB" w:rsidRPr="00750E36" w:rsidRDefault="00524248" w:rsidP="00D23992">
      <w:pPr>
        <w:pStyle w:val="Default"/>
        <w:ind w:left="708"/>
        <w:jc w:val="center"/>
        <w:rPr>
          <w:sz w:val="26"/>
          <w:szCs w:val="26"/>
          <w:lang w:val="lt-LT"/>
        </w:rPr>
      </w:pPr>
      <w:r>
        <w:rPr>
          <w:b/>
          <w:bCs/>
          <w:sz w:val="26"/>
          <w:szCs w:val="26"/>
          <w:lang w:val="lt-LT"/>
        </w:rPr>
        <w:t xml:space="preserve">ŠALČININKŲ R. </w:t>
      </w:r>
      <w:r w:rsidR="00C43CDE">
        <w:rPr>
          <w:b/>
          <w:bCs/>
          <w:sz w:val="26"/>
          <w:szCs w:val="26"/>
          <w:lang w:val="lt-LT"/>
        </w:rPr>
        <w:t>JAŠIŪNŲ LOPŠELIO - DARŽELIO „ŽILVITIS</w:t>
      </w:r>
      <w:r w:rsidR="006030DB" w:rsidRPr="00750E36">
        <w:rPr>
          <w:b/>
          <w:bCs/>
          <w:sz w:val="26"/>
          <w:szCs w:val="26"/>
          <w:lang w:val="lt-LT"/>
        </w:rPr>
        <w:t>“</w:t>
      </w:r>
    </w:p>
    <w:p w:rsidR="006030DB" w:rsidRPr="00750E36" w:rsidRDefault="006030DB" w:rsidP="00D23992">
      <w:pPr>
        <w:pStyle w:val="Default"/>
        <w:ind w:left="708"/>
        <w:jc w:val="center"/>
        <w:rPr>
          <w:b/>
          <w:bCs/>
          <w:sz w:val="26"/>
          <w:szCs w:val="26"/>
          <w:lang w:val="lt-LT"/>
        </w:rPr>
      </w:pPr>
      <w:r w:rsidRPr="00750E36">
        <w:rPr>
          <w:b/>
          <w:bCs/>
          <w:sz w:val="26"/>
          <w:szCs w:val="26"/>
          <w:lang w:val="lt-LT"/>
        </w:rPr>
        <w:t xml:space="preserve">MAŽOS VERTĖS PIRKIMŲ </w:t>
      </w:r>
      <w:r w:rsidR="002D50AB">
        <w:rPr>
          <w:b/>
          <w:bCs/>
          <w:sz w:val="26"/>
          <w:szCs w:val="26"/>
          <w:lang w:val="lt-LT"/>
        </w:rPr>
        <w:t xml:space="preserve">VIDAUS </w:t>
      </w:r>
      <w:r w:rsidRPr="00750E36">
        <w:rPr>
          <w:b/>
          <w:bCs/>
          <w:sz w:val="26"/>
          <w:szCs w:val="26"/>
          <w:lang w:val="lt-LT"/>
        </w:rPr>
        <w:t>TVARKOS APRAŠAS</w:t>
      </w:r>
    </w:p>
    <w:p w:rsidR="006030DB" w:rsidRPr="00750E36" w:rsidRDefault="006030DB" w:rsidP="00D23992">
      <w:pPr>
        <w:pStyle w:val="Default"/>
        <w:ind w:left="708"/>
        <w:jc w:val="center"/>
        <w:rPr>
          <w:sz w:val="26"/>
          <w:szCs w:val="26"/>
          <w:lang w:val="lt-LT"/>
        </w:rPr>
      </w:pPr>
    </w:p>
    <w:p w:rsidR="006030DB" w:rsidRPr="00750E36" w:rsidRDefault="006030DB" w:rsidP="00D23992">
      <w:pPr>
        <w:pStyle w:val="Default"/>
        <w:ind w:left="708"/>
        <w:jc w:val="center"/>
        <w:rPr>
          <w:sz w:val="26"/>
          <w:szCs w:val="26"/>
          <w:lang w:val="lt-LT"/>
        </w:rPr>
      </w:pPr>
      <w:r w:rsidRPr="00750E36">
        <w:rPr>
          <w:b/>
          <w:bCs/>
          <w:sz w:val="26"/>
          <w:szCs w:val="26"/>
          <w:lang w:val="lt-LT"/>
        </w:rPr>
        <w:t>I. BENDROSIOS NUOSTATOS</w:t>
      </w:r>
    </w:p>
    <w:p w:rsidR="006030DB" w:rsidRPr="00750E36" w:rsidRDefault="006030DB" w:rsidP="00D23992">
      <w:pPr>
        <w:pStyle w:val="Default"/>
        <w:ind w:left="708"/>
        <w:rPr>
          <w:sz w:val="26"/>
          <w:szCs w:val="26"/>
          <w:lang w:val="lt-LT"/>
        </w:rPr>
      </w:pPr>
      <w:r w:rsidRPr="00750E36">
        <w:rPr>
          <w:sz w:val="26"/>
          <w:szCs w:val="26"/>
          <w:lang w:val="lt-LT"/>
        </w:rPr>
        <w:t xml:space="preserve">1. Mažos vertės pirkimų </w:t>
      </w:r>
      <w:r w:rsidR="002D50AB">
        <w:rPr>
          <w:sz w:val="26"/>
          <w:szCs w:val="26"/>
          <w:lang w:val="lt-LT"/>
        </w:rPr>
        <w:t xml:space="preserve">vidaus </w:t>
      </w:r>
      <w:r w:rsidRPr="00750E36">
        <w:rPr>
          <w:sz w:val="26"/>
          <w:szCs w:val="26"/>
          <w:lang w:val="lt-LT"/>
        </w:rPr>
        <w:t xml:space="preserve">tvarkos aprašas (toliau – Aprašas) parengtas vadovaujantis Lietuvos Respublikos viešųjų pirkimų įstatymu (toliau – Viešųjų pirkimų įstatymas). </w:t>
      </w:r>
    </w:p>
    <w:p w:rsidR="006030DB" w:rsidRPr="00750E36" w:rsidRDefault="006030DB" w:rsidP="00D23992">
      <w:pPr>
        <w:pStyle w:val="Default"/>
        <w:ind w:left="708"/>
        <w:rPr>
          <w:sz w:val="26"/>
          <w:szCs w:val="26"/>
          <w:lang w:val="lt-LT"/>
        </w:rPr>
      </w:pPr>
      <w:r w:rsidRPr="00750E36">
        <w:rPr>
          <w:sz w:val="26"/>
          <w:szCs w:val="26"/>
          <w:lang w:val="lt-LT"/>
        </w:rPr>
        <w:t xml:space="preserve">2. Aprašas nustato prekių, paslaugų ir darbų mažos vertės pirkimų (toliau – pirkimai) būdus ir jų procedūrų atlikimo tvarką. </w:t>
      </w:r>
    </w:p>
    <w:p w:rsidR="006030DB" w:rsidRPr="00750E36" w:rsidRDefault="006030DB" w:rsidP="00D23992">
      <w:pPr>
        <w:pStyle w:val="Default"/>
        <w:ind w:left="708"/>
        <w:rPr>
          <w:sz w:val="26"/>
          <w:szCs w:val="26"/>
          <w:lang w:val="lt-LT"/>
        </w:rPr>
      </w:pPr>
      <w:r w:rsidRPr="00750E36">
        <w:rPr>
          <w:sz w:val="26"/>
          <w:szCs w:val="26"/>
          <w:lang w:val="lt-LT"/>
        </w:rPr>
        <w:t xml:space="preserve">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 </w:t>
      </w:r>
    </w:p>
    <w:p w:rsidR="006030DB" w:rsidRPr="00750E36" w:rsidRDefault="006030DB" w:rsidP="00D23992">
      <w:pPr>
        <w:pStyle w:val="Default"/>
        <w:ind w:left="708"/>
        <w:rPr>
          <w:sz w:val="26"/>
          <w:szCs w:val="26"/>
          <w:lang w:val="lt-LT"/>
        </w:rPr>
      </w:pPr>
      <w:r w:rsidRPr="00750E36">
        <w:rPr>
          <w:sz w:val="26"/>
          <w:szCs w:val="26"/>
          <w:lang w:val="lt-LT"/>
        </w:rPr>
        <w:t xml:space="preserve">4. Apraše vartojamos sąvokos: </w:t>
      </w:r>
    </w:p>
    <w:p w:rsidR="006030DB" w:rsidRPr="00750E36" w:rsidRDefault="006030DB" w:rsidP="00D23992">
      <w:pPr>
        <w:pStyle w:val="Default"/>
        <w:ind w:left="708"/>
        <w:rPr>
          <w:sz w:val="26"/>
          <w:szCs w:val="26"/>
          <w:lang w:val="lt-LT"/>
        </w:rPr>
      </w:pPr>
      <w:r w:rsidRPr="00750E36">
        <w:rPr>
          <w:sz w:val="26"/>
          <w:szCs w:val="26"/>
          <w:lang w:val="lt-LT"/>
        </w:rPr>
        <w:t xml:space="preserve">4.1. </w:t>
      </w:r>
      <w:r w:rsidRPr="00750E36">
        <w:rPr>
          <w:b/>
          <w:bCs/>
          <w:sz w:val="26"/>
          <w:szCs w:val="26"/>
          <w:lang w:val="lt-LT"/>
        </w:rPr>
        <w:t xml:space="preserve">mažos vertės pirkimas </w:t>
      </w:r>
      <w:r w:rsidRPr="00750E36">
        <w:rPr>
          <w:sz w:val="26"/>
          <w:szCs w:val="26"/>
          <w:lang w:val="lt-LT"/>
        </w:rPr>
        <w:t xml:space="preserve">– tai: </w:t>
      </w:r>
    </w:p>
    <w:p w:rsidR="006030DB" w:rsidRPr="00750E36" w:rsidRDefault="006030DB" w:rsidP="00D23992">
      <w:pPr>
        <w:pStyle w:val="Default"/>
        <w:ind w:left="708"/>
        <w:rPr>
          <w:sz w:val="26"/>
          <w:szCs w:val="26"/>
          <w:lang w:val="lt-LT"/>
        </w:rPr>
      </w:pPr>
      <w:r w:rsidRPr="00750E36">
        <w:rPr>
          <w:sz w:val="26"/>
          <w:szCs w:val="26"/>
          <w:lang w:val="lt-LT"/>
        </w:rPr>
        <w:t xml:space="preserve">4.1.1.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 </w:t>
      </w:r>
    </w:p>
    <w:p w:rsidR="006030DB" w:rsidRPr="00750E36" w:rsidRDefault="006030DB" w:rsidP="00D23992">
      <w:pPr>
        <w:pStyle w:val="Default"/>
        <w:ind w:left="708"/>
        <w:rPr>
          <w:sz w:val="26"/>
          <w:szCs w:val="26"/>
          <w:lang w:val="lt-LT"/>
        </w:rPr>
      </w:pPr>
      <w:r w:rsidRPr="00750E36">
        <w:rPr>
          <w:sz w:val="26"/>
          <w:szCs w:val="26"/>
          <w:lang w:val="lt-LT"/>
        </w:rPr>
        <w:t xml:space="preserve">4.1.2.supaprastintas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 </w:t>
      </w:r>
    </w:p>
    <w:p w:rsidR="006030DB" w:rsidRPr="00750E36" w:rsidRDefault="006030DB" w:rsidP="00D23992">
      <w:pPr>
        <w:pStyle w:val="Default"/>
        <w:ind w:left="708"/>
        <w:rPr>
          <w:sz w:val="26"/>
          <w:szCs w:val="26"/>
          <w:lang w:val="lt-LT"/>
        </w:rPr>
      </w:pPr>
      <w:r w:rsidRPr="00750E36">
        <w:rPr>
          <w:sz w:val="26"/>
          <w:szCs w:val="26"/>
          <w:lang w:val="lt-LT"/>
        </w:rPr>
        <w:t xml:space="preserve">4.2. </w:t>
      </w:r>
      <w:r w:rsidRPr="00750E36">
        <w:rPr>
          <w:b/>
          <w:bCs/>
          <w:sz w:val="26"/>
          <w:szCs w:val="26"/>
          <w:lang w:val="lt-LT"/>
        </w:rPr>
        <w:t xml:space="preserve">neskelbiama apklausa </w:t>
      </w:r>
      <w:r w:rsidRPr="00750E36">
        <w:rPr>
          <w:sz w:val="26"/>
          <w:szCs w:val="26"/>
          <w:lang w:val="lt-LT"/>
        </w:rPr>
        <w:t xml:space="preserve">– pirkimo būdas, kai perkančioji organizacija kreipiasi į tiekėjus, kviesdama pateikti pasiūlymus; </w:t>
      </w:r>
    </w:p>
    <w:p w:rsidR="006030DB" w:rsidRPr="00750E36" w:rsidRDefault="006030DB" w:rsidP="00D23992">
      <w:pPr>
        <w:pStyle w:val="Default"/>
        <w:ind w:left="708"/>
        <w:rPr>
          <w:sz w:val="26"/>
          <w:szCs w:val="26"/>
          <w:lang w:val="lt-LT"/>
        </w:rPr>
      </w:pPr>
      <w:r w:rsidRPr="00750E36">
        <w:rPr>
          <w:sz w:val="26"/>
          <w:szCs w:val="26"/>
          <w:lang w:val="lt-LT"/>
        </w:rPr>
        <w:t xml:space="preserve">4.3. </w:t>
      </w:r>
      <w:r w:rsidRPr="00750E36">
        <w:rPr>
          <w:b/>
          <w:bCs/>
          <w:sz w:val="26"/>
          <w:szCs w:val="26"/>
          <w:lang w:val="lt-LT"/>
        </w:rPr>
        <w:t xml:space="preserve">pirkimų organizatorius </w:t>
      </w:r>
      <w:r w:rsidRPr="00750E36">
        <w:rPr>
          <w:sz w:val="26"/>
          <w:szCs w:val="26"/>
          <w:lang w:val="lt-LT"/>
        </w:rP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 </w:t>
      </w:r>
    </w:p>
    <w:p w:rsidR="006030DB" w:rsidRPr="00750E36" w:rsidRDefault="006030DB" w:rsidP="00D23992">
      <w:pPr>
        <w:pStyle w:val="Default"/>
        <w:ind w:left="708"/>
        <w:rPr>
          <w:sz w:val="26"/>
          <w:szCs w:val="26"/>
          <w:lang w:val="lt-LT"/>
        </w:rPr>
      </w:pPr>
      <w:r w:rsidRPr="00750E36">
        <w:rPr>
          <w:sz w:val="26"/>
          <w:szCs w:val="26"/>
          <w:lang w:val="lt-LT"/>
        </w:rPr>
        <w:t xml:space="preserve">4.4. </w:t>
      </w:r>
      <w:r w:rsidRPr="00750E36">
        <w:rPr>
          <w:b/>
          <w:bCs/>
          <w:sz w:val="26"/>
          <w:szCs w:val="26"/>
          <w:lang w:val="lt-LT"/>
        </w:rPr>
        <w:t xml:space="preserve">skelbiama apklausa </w:t>
      </w:r>
      <w:r w:rsidRPr="00750E36">
        <w:rPr>
          <w:sz w:val="26"/>
          <w:szCs w:val="26"/>
          <w:lang w:val="lt-LT"/>
        </w:rP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6030DB" w:rsidRPr="00750E36" w:rsidRDefault="006030DB" w:rsidP="00D23992">
      <w:pPr>
        <w:pStyle w:val="Default"/>
        <w:ind w:left="708"/>
        <w:rPr>
          <w:sz w:val="26"/>
          <w:szCs w:val="26"/>
          <w:lang w:val="lt-LT"/>
        </w:rPr>
      </w:pPr>
      <w:r w:rsidRPr="00750E36">
        <w:rPr>
          <w:sz w:val="26"/>
          <w:szCs w:val="26"/>
          <w:lang w:val="lt-LT"/>
        </w:rPr>
        <w:lastRenderedPageBreak/>
        <w:t xml:space="preserve">4.5. </w:t>
      </w:r>
      <w:r w:rsidRPr="00750E36">
        <w:rPr>
          <w:b/>
          <w:bCs/>
          <w:sz w:val="26"/>
          <w:szCs w:val="26"/>
          <w:lang w:val="lt-LT"/>
        </w:rPr>
        <w:t xml:space="preserve">viešojo pirkimo komisija </w:t>
      </w:r>
      <w:r w:rsidRPr="00750E36">
        <w:rPr>
          <w:sz w:val="26"/>
          <w:szCs w:val="26"/>
          <w:lang w:val="lt-LT"/>
        </w:rPr>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rsidR="006030DB" w:rsidRPr="00750E36" w:rsidRDefault="006030DB" w:rsidP="00D23992">
      <w:pPr>
        <w:pStyle w:val="Default"/>
        <w:ind w:left="708"/>
        <w:rPr>
          <w:sz w:val="26"/>
          <w:szCs w:val="26"/>
          <w:lang w:val="lt-LT"/>
        </w:rPr>
      </w:pPr>
      <w:r w:rsidRPr="00750E36">
        <w:rPr>
          <w:sz w:val="26"/>
          <w:szCs w:val="26"/>
          <w:lang w:val="lt-LT"/>
        </w:rPr>
        <w:t xml:space="preserve">Kitos Apraše vartojamos sąvokos apibrėžtos Viešųjų pirkimų įstatymo 2 straipsnyje. </w:t>
      </w:r>
    </w:p>
    <w:p w:rsidR="006030DB" w:rsidRPr="00750E36" w:rsidRDefault="006030DB" w:rsidP="00D23992">
      <w:pPr>
        <w:pStyle w:val="Default"/>
        <w:ind w:left="708"/>
        <w:rPr>
          <w:sz w:val="26"/>
          <w:szCs w:val="26"/>
          <w:lang w:val="lt-LT"/>
        </w:rPr>
      </w:pPr>
      <w:r w:rsidRPr="00750E36">
        <w:rPr>
          <w:sz w:val="26"/>
          <w:szCs w:val="26"/>
          <w:lang w:val="lt-LT"/>
        </w:rPr>
        <w:t xml:space="preserve">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 </w:t>
      </w:r>
    </w:p>
    <w:p w:rsidR="009536D5" w:rsidRDefault="006030DB" w:rsidP="009536D5">
      <w:pPr>
        <w:pStyle w:val="Default"/>
        <w:ind w:left="708"/>
        <w:rPr>
          <w:sz w:val="26"/>
          <w:szCs w:val="26"/>
          <w:lang w:val="lt-LT"/>
        </w:rPr>
      </w:pPr>
      <w:r w:rsidRPr="00750E36">
        <w:rPr>
          <w:sz w:val="26"/>
          <w:szCs w:val="26"/>
          <w:lang w:val="lt-LT"/>
        </w:rPr>
        <w:t xml:space="preserve">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 </w:t>
      </w:r>
    </w:p>
    <w:p w:rsidR="006030DB" w:rsidRPr="00750E36" w:rsidRDefault="006030DB" w:rsidP="009536D5">
      <w:pPr>
        <w:pStyle w:val="Default"/>
        <w:ind w:left="708"/>
        <w:rPr>
          <w:sz w:val="26"/>
          <w:szCs w:val="26"/>
          <w:lang w:val="lt-LT"/>
        </w:rPr>
      </w:pPr>
      <w:r w:rsidRPr="00750E36">
        <w:rPr>
          <w:sz w:val="26"/>
          <w:szCs w:val="26"/>
          <w:lang w:val="lt-LT"/>
        </w:rPr>
        <w:t xml:space="preserve">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 </w:t>
      </w:r>
    </w:p>
    <w:p w:rsidR="006030DB" w:rsidRPr="00750E36" w:rsidRDefault="006030DB" w:rsidP="00D23992">
      <w:pPr>
        <w:pStyle w:val="Default"/>
        <w:ind w:left="708"/>
        <w:rPr>
          <w:sz w:val="26"/>
          <w:szCs w:val="26"/>
          <w:lang w:val="lt-LT"/>
        </w:rPr>
      </w:pPr>
      <w:r w:rsidRPr="00750E36">
        <w:rPr>
          <w:sz w:val="26"/>
          <w:szCs w:val="26"/>
          <w:lang w:val="lt-LT"/>
        </w:rPr>
        <w:t xml:space="preserve">8. Pirkimo procedūros prasideda, kai Viešųjų pirkimų tarnyba paskelbia skelbimą apie pirkimą CVP IS, o kai pirkimas atliekamas neskelbiamos apklausos būdu – perkančioji organizacija kreipiasi į tiekėją (tiekėjus) prašydama pateikti pasiūlymą (pasiūlymus). </w:t>
      </w:r>
    </w:p>
    <w:p w:rsidR="006030DB" w:rsidRPr="00750E36" w:rsidRDefault="006030DB" w:rsidP="00D23992">
      <w:pPr>
        <w:pStyle w:val="Default"/>
        <w:ind w:left="708"/>
        <w:rPr>
          <w:sz w:val="26"/>
          <w:szCs w:val="26"/>
          <w:lang w:val="lt-LT"/>
        </w:rPr>
      </w:pPr>
      <w:r w:rsidRPr="00750E36">
        <w:rPr>
          <w:sz w:val="26"/>
          <w:szCs w:val="26"/>
          <w:lang w:val="lt-LT"/>
        </w:rPr>
        <w:t xml:space="preserve">9. Pirkimo (ar atskiros pirkimo dalies) procedūros baigiasi, kai: </w:t>
      </w:r>
    </w:p>
    <w:p w:rsidR="006030DB" w:rsidRPr="00750E36" w:rsidRDefault="006030DB" w:rsidP="00D23992">
      <w:pPr>
        <w:pStyle w:val="Default"/>
        <w:ind w:left="708"/>
        <w:rPr>
          <w:sz w:val="26"/>
          <w:szCs w:val="26"/>
          <w:lang w:val="lt-LT"/>
        </w:rPr>
      </w:pPr>
      <w:r w:rsidRPr="00750E36">
        <w:rPr>
          <w:sz w:val="26"/>
          <w:szCs w:val="26"/>
          <w:lang w:val="lt-LT"/>
        </w:rPr>
        <w:t xml:space="preserve">9.1. sudaroma pirkimo sutartis ir pateikiamas sutarties įvykdymo užtikrinimas, jei jo buvo prašoma, arba sudaroma preliminarioji sutartis; </w:t>
      </w:r>
    </w:p>
    <w:p w:rsidR="006030DB" w:rsidRPr="00750E36" w:rsidRDefault="006030DB" w:rsidP="00D23992">
      <w:pPr>
        <w:pStyle w:val="Default"/>
        <w:ind w:left="708"/>
        <w:rPr>
          <w:sz w:val="26"/>
          <w:szCs w:val="26"/>
          <w:lang w:val="lt-LT"/>
        </w:rPr>
      </w:pPr>
      <w:r w:rsidRPr="00750E36">
        <w:rPr>
          <w:sz w:val="26"/>
          <w:szCs w:val="26"/>
          <w:lang w:val="lt-LT"/>
        </w:rPr>
        <w:t xml:space="preserve">9.2. atmetami visi pasiūlymai; </w:t>
      </w:r>
    </w:p>
    <w:p w:rsidR="006030DB" w:rsidRPr="00750E36" w:rsidRDefault="006030DB" w:rsidP="00D23992">
      <w:pPr>
        <w:pStyle w:val="Default"/>
        <w:ind w:left="708"/>
        <w:rPr>
          <w:sz w:val="26"/>
          <w:szCs w:val="26"/>
          <w:lang w:val="lt-LT"/>
        </w:rPr>
      </w:pPr>
      <w:r w:rsidRPr="00750E36">
        <w:rPr>
          <w:sz w:val="26"/>
          <w:szCs w:val="26"/>
          <w:lang w:val="lt-LT"/>
        </w:rPr>
        <w:t xml:space="preserve">9.3. nutraukiamos pirkimo procedūros; </w:t>
      </w:r>
    </w:p>
    <w:p w:rsidR="006030DB" w:rsidRPr="00750E36" w:rsidRDefault="006030DB" w:rsidP="00D23992">
      <w:pPr>
        <w:pStyle w:val="Default"/>
        <w:ind w:left="708"/>
        <w:rPr>
          <w:sz w:val="26"/>
          <w:szCs w:val="26"/>
          <w:lang w:val="lt-LT"/>
        </w:rPr>
      </w:pPr>
      <w:r w:rsidRPr="00750E36">
        <w:rPr>
          <w:sz w:val="26"/>
          <w:szCs w:val="26"/>
          <w:lang w:val="lt-LT"/>
        </w:rPr>
        <w:t xml:space="preserve">9.4. per nustatytą terminą nepateikiamas nei vienas pasiūlymas; </w:t>
      </w:r>
    </w:p>
    <w:p w:rsidR="006030DB" w:rsidRPr="00750E36" w:rsidRDefault="006030DB" w:rsidP="00D23992">
      <w:pPr>
        <w:pStyle w:val="Default"/>
        <w:ind w:left="708"/>
        <w:rPr>
          <w:sz w:val="26"/>
          <w:szCs w:val="26"/>
          <w:lang w:val="lt-LT"/>
        </w:rPr>
      </w:pPr>
      <w:r w:rsidRPr="00750E36">
        <w:rPr>
          <w:sz w:val="26"/>
          <w:szCs w:val="26"/>
          <w:lang w:val="lt-LT"/>
        </w:rPr>
        <w:t xml:space="preserve">9.5. baigiasi pasiūlymų galiojimo laikas ir pirkimo sutartis ar preliminarioji sutartis nesudaroma dėl priežasčių, kurios priklauso nuo tiekėjų; </w:t>
      </w:r>
    </w:p>
    <w:p w:rsidR="006030DB" w:rsidRPr="00750E36" w:rsidRDefault="006030DB" w:rsidP="00D23992">
      <w:pPr>
        <w:pStyle w:val="Default"/>
        <w:ind w:left="708"/>
        <w:rPr>
          <w:sz w:val="26"/>
          <w:szCs w:val="26"/>
          <w:lang w:val="lt-LT"/>
        </w:rPr>
      </w:pPr>
      <w:r w:rsidRPr="00750E36">
        <w:rPr>
          <w:sz w:val="26"/>
          <w:szCs w:val="26"/>
          <w:lang w:val="lt-LT"/>
        </w:rPr>
        <w:t xml:space="preserve">9.6. visi tiekėjai atšaukia savo pasiūlymus ar atsisako sudaryti pirkimo sutartį. </w:t>
      </w:r>
    </w:p>
    <w:p w:rsidR="006030DB" w:rsidRPr="00750E36" w:rsidRDefault="006030DB" w:rsidP="00D23992">
      <w:pPr>
        <w:pStyle w:val="Default"/>
        <w:ind w:left="708"/>
        <w:rPr>
          <w:sz w:val="26"/>
          <w:szCs w:val="26"/>
          <w:lang w:val="lt-LT"/>
        </w:rPr>
      </w:pPr>
      <w:r w:rsidRPr="00750E36">
        <w:rPr>
          <w:sz w:val="26"/>
          <w:szCs w:val="26"/>
          <w:lang w:val="lt-LT"/>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6030DB" w:rsidRPr="00750E36" w:rsidRDefault="006030DB" w:rsidP="00D23992">
      <w:pPr>
        <w:pStyle w:val="Default"/>
        <w:ind w:left="708"/>
        <w:rPr>
          <w:sz w:val="26"/>
          <w:szCs w:val="26"/>
          <w:lang w:val="lt-LT"/>
        </w:rPr>
      </w:pPr>
      <w:r w:rsidRPr="00750E36">
        <w:rPr>
          <w:sz w:val="26"/>
          <w:szCs w:val="26"/>
          <w:lang w:val="lt-LT"/>
        </w:rPr>
        <w:t xml:space="preserve">11.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w:t>
      </w:r>
      <w:r w:rsidRPr="00750E36">
        <w:rPr>
          <w:sz w:val="26"/>
          <w:szCs w:val="26"/>
          <w:lang w:val="lt-LT"/>
        </w:rPr>
        <w:lastRenderedPageBreak/>
        <w:t>punkte numatytos pareigos įsigyti prekių, paslaugų ir darbų iš centrinės perkančiosios organizacijos arba per ją</w:t>
      </w:r>
      <w:r w:rsidRPr="00524248">
        <w:rPr>
          <w:b/>
          <w:sz w:val="26"/>
          <w:szCs w:val="26"/>
          <w:lang w:val="lt-LT"/>
        </w:rPr>
        <w:t xml:space="preserve"> gali būti nesilaikoma, kai atliekant neskelbiamą apklausą numatoma pirkimo sutarties vertė yra mažesnė kaip</w:t>
      </w:r>
      <w:r w:rsidR="002D50AB" w:rsidRPr="00524248">
        <w:rPr>
          <w:b/>
          <w:sz w:val="26"/>
          <w:szCs w:val="26"/>
          <w:lang w:val="lt-LT"/>
        </w:rPr>
        <w:t xml:space="preserve"> 10 000 Eur. (dešimt tūkstančių Eurų </w:t>
      </w:r>
      <w:r w:rsidRPr="00524248">
        <w:rPr>
          <w:b/>
          <w:sz w:val="26"/>
          <w:szCs w:val="26"/>
          <w:lang w:val="lt-LT"/>
        </w:rPr>
        <w:t>be PVM).</w:t>
      </w:r>
      <w:r w:rsidRPr="00750E36">
        <w:rPr>
          <w:sz w:val="26"/>
          <w:szCs w:val="26"/>
          <w:lang w:val="lt-LT"/>
        </w:rPr>
        <w:t xml:space="preserve"> </w:t>
      </w:r>
    </w:p>
    <w:p w:rsidR="006030DB" w:rsidRPr="00750E36" w:rsidRDefault="006030DB" w:rsidP="00D23992">
      <w:pPr>
        <w:pStyle w:val="Default"/>
        <w:ind w:left="708"/>
        <w:rPr>
          <w:sz w:val="26"/>
          <w:szCs w:val="26"/>
          <w:lang w:val="lt-LT"/>
        </w:rPr>
      </w:pPr>
      <w:r w:rsidRPr="00750E36">
        <w:rPr>
          <w:sz w:val="26"/>
          <w:szCs w:val="26"/>
          <w:lang w:val="lt-LT"/>
        </w:rPr>
        <w:t xml:space="preserve">12. Tais atvejais, kai neatliekamas centralizuotas pirkimas, kaip numatyta šio Aprašo 11 punkte, norėdama įsigyti prekių, paslaugų ar darbų, perkančioji organizacija gali: </w:t>
      </w:r>
    </w:p>
    <w:p w:rsidR="006030DB" w:rsidRPr="00750E36" w:rsidRDefault="006030DB" w:rsidP="00D23992">
      <w:pPr>
        <w:pStyle w:val="Default"/>
        <w:ind w:left="708"/>
        <w:rPr>
          <w:sz w:val="26"/>
          <w:szCs w:val="26"/>
          <w:lang w:val="lt-LT"/>
        </w:rPr>
      </w:pPr>
      <w:r w:rsidRPr="00750E36">
        <w:rPr>
          <w:sz w:val="26"/>
          <w:szCs w:val="26"/>
          <w:lang w:val="lt-LT"/>
        </w:rPr>
        <w:t xml:space="preserve">12.1. atlikti pirkimą savarankiškai; </w:t>
      </w:r>
    </w:p>
    <w:p w:rsidR="006030DB" w:rsidRPr="00750E36" w:rsidRDefault="006030DB" w:rsidP="00D23992">
      <w:pPr>
        <w:pStyle w:val="Default"/>
        <w:ind w:left="708"/>
        <w:rPr>
          <w:sz w:val="26"/>
          <w:szCs w:val="26"/>
          <w:lang w:val="lt-LT"/>
        </w:rPr>
      </w:pPr>
      <w:r w:rsidRPr="00750E36">
        <w:rPr>
          <w:sz w:val="26"/>
          <w:szCs w:val="26"/>
          <w:lang w:val="lt-LT"/>
        </w:rPr>
        <w:t xml:space="preserve">12.2. vadovaujantis Viešųjų pirkimų įstatymo 83 straipsnio nuostatomis, įgalioti kitą perkančiąją organizaciją atlikti pirkimo procedūras; </w:t>
      </w:r>
    </w:p>
    <w:p w:rsidR="006030DB" w:rsidRPr="00750E36" w:rsidRDefault="006030DB" w:rsidP="00D23992">
      <w:pPr>
        <w:pStyle w:val="Default"/>
        <w:ind w:left="708"/>
        <w:rPr>
          <w:sz w:val="26"/>
          <w:szCs w:val="26"/>
          <w:lang w:val="lt-LT"/>
        </w:rPr>
      </w:pPr>
      <w:r w:rsidRPr="00750E36">
        <w:rPr>
          <w:sz w:val="26"/>
          <w:szCs w:val="26"/>
          <w:lang w:val="lt-LT"/>
        </w:rPr>
        <w:t xml:space="preserve">12.3.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 nuostatomis; </w:t>
      </w:r>
    </w:p>
    <w:p w:rsidR="006030DB" w:rsidRPr="00750E36" w:rsidRDefault="006030DB" w:rsidP="00D23992">
      <w:pPr>
        <w:pStyle w:val="Default"/>
        <w:ind w:left="708"/>
        <w:rPr>
          <w:sz w:val="26"/>
          <w:szCs w:val="26"/>
          <w:lang w:val="lt-LT"/>
        </w:rPr>
      </w:pPr>
      <w:r w:rsidRPr="00750E36">
        <w:rPr>
          <w:sz w:val="26"/>
          <w:szCs w:val="26"/>
          <w:lang w:val="lt-LT"/>
        </w:rPr>
        <w:t xml:space="preserve">12.4. atlikti bendrus pirkimus kartu su kitomis Lietuvos Respublikos ar kitų valstybių narių perkančiosiomis organizacijomis, vadovaujantis Viešųjų pirkimų įstatymo 84 ir 85 straipsnių nuostatomis; </w:t>
      </w:r>
    </w:p>
    <w:p w:rsidR="006030DB" w:rsidRPr="00750E36" w:rsidRDefault="006030DB" w:rsidP="00D23992">
      <w:pPr>
        <w:pStyle w:val="Default"/>
        <w:ind w:left="708"/>
        <w:rPr>
          <w:sz w:val="26"/>
          <w:szCs w:val="26"/>
          <w:lang w:val="lt-LT"/>
        </w:rPr>
      </w:pPr>
      <w:r w:rsidRPr="00750E36">
        <w:rPr>
          <w:sz w:val="26"/>
          <w:szCs w:val="26"/>
          <w:lang w:val="lt-LT"/>
        </w:rPr>
        <w:t xml:space="preserve">12.5. naudotis pagalbinės viešųjų pirkimų veiklos paslaugų teikėjų paslaugomis, vadovaujantis Viešųjų pirkimų įstatymo 2 straipsnio 22 ir 23 dalių nuostatomis. </w:t>
      </w:r>
    </w:p>
    <w:p w:rsidR="009536D5" w:rsidRDefault="006030DB" w:rsidP="009536D5">
      <w:pPr>
        <w:pStyle w:val="Default"/>
        <w:ind w:left="708"/>
        <w:rPr>
          <w:sz w:val="26"/>
          <w:szCs w:val="26"/>
          <w:lang w:val="lt-LT"/>
        </w:rPr>
      </w:pPr>
      <w:r w:rsidRPr="00750E36">
        <w:rPr>
          <w:sz w:val="26"/>
          <w:szCs w:val="26"/>
          <w:lang w:val="lt-LT"/>
        </w:rP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w:t>
      </w:r>
      <w:r w:rsidR="00524248">
        <w:rPr>
          <w:sz w:val="26"/>
          <w:szCs w:val="26"/>
          <w:lang w:val="lt-LT"/>
        </w:rPr>
        <w:t>rkimų tarnybos nustatytą tvarką,</w:t>
      </w:r>
      <w:r w:rsidRPr="00750E36">
        <w:rPr>
          <w:sz w:val="26"/>
          <w:szCs w:val="26"/>
          <w:lang w:val="lt-LT"/>
        </w:rPr>
        <w:t xml:space="preserve"> paskelbti pirkimų techninių specifikacijų projektus, vadovaudamasi Viešųjų pirkimų įstatymo 27 straipsnio nuostatomis. </w:t>
      </w:r>
    </w:p>
    <w:p w:rsidR="009536D5" w:rsidRDefault="006030DB" w:rsidP="009536D5">
      <w:pPr>
        <w:pStyle w:val="Default"/>
        <w:ind w:left="708"/>
        <w:rPr>
          <w:sz w:val="26"/>
          <w:szCs w:val="26"/>
          <w:lang w:val="lt-LT"/>
        </w:rPr>
      </w:pPr>
      <w:r w:rsidRPr="00750E36">
        <w:rPr>
          <w:sz w:val="26"/>
          <w:szCs w:val="26"/>
          <w:lang w:val="lt-LT"/>
        </w:rPr>
        <w:t xml:space="preserve">14. Pirkimo procedūrą atlieka pirkimų organizatorius. Tuo pačiu metu atliekamoms kelioms pirkimo procedūroms gali būti paskirti keli pirkimų organizatoriai. Pirkimų organizatorius atsiskaito perkančiajai organizacijai ir vykdo jos užduotis bei įpareigojimus. </w:t>
      </w:r>
    </w:p>
    <w:p w:rsidR="00D23992" w:rsidRPr="00750E36" w:rsidRDefault="00D23992" w:rsidP="009536D5">
      <w:pPr>
        <w:pStyle w:val="Default"/>
        <w:ind w:left="708"/>
        <w:rPr>
          <w:sz w:val="26"/>
          <w:szCs w:val="26"/>
          <w:lang w:val="lt-LT"/>
        </w:rPr>
      </w:pPr>
      <w:r w:rsidRPr="00750E36">
        <w:rPr>
          <w:sz w:val="26"/>
          <w:szCs w:val="26"/>
          <w:lang w:val="lt-LT"/>
        </w:rPr>
        <w:t>15. Pirkimų organizavimo tvarka nustatyta šio Aprašo II str.</w:t>
      </w:r>
    </w:p>
    <w:p w:rsidR="00D23992" w:rsidRPr="00750E36" w:rsidRDefault="00D23992" w:rsidP="00D23992">
      <w:pPr>
        <w:pStyle w:val="Default"/>
        <w:ind w:left="708"/>
        <w:rPr>
          <w:sz w:val="26"/>
          <w:szCs w:val="26"/>
          <w:lang w:val="lt-LT"/>
        </w:rPr>
      </w:pPr>
      <w:r w:rsidRPr="00750E36">
        <w:rPr>
          <w:sz w:val="26"/>
          <w:szCs w:val="26"/>
          <w:lang w:val="lt-LT"/>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deklaraciją2. Analogiški reikalavimai taikomi ir pirkimų organizatoriui. Konfidencialumo pasižadėjimą ir nešališkumo deklaraciją asmuo pasirašo, kai yra paskiriamas atlikti jam numatytas pareigas.</w:t>
      </w:r>
    </w:p>
    <w:p w:rsidR="00D23992" w:rsidRPr="00750E36" w:rsidRDefault="00D23992" w:rsidP="00D23992">
      <w:pPr>
        <w:pStyle w:val="Default"/>
        <w:ind w:left="708"/>
        <w:rPr>
          <w:sz w:val="26"/>
          <w:szCs w:val="26"/>
          <w:lang w:val="lt-LT"/>
        </w:rPr>
      </w:pPr>
      <w:r w:rsidRPr="00750E36">
        <w:rPr>
          <w:sz w:val="26"/>
          <w:szCs w:val="26"/>
          <w:lang w:val="lt-LT"/>
        </w:rPr>
        <w:t>17. Kiekviena atliekama pirkimo procedūra patvirtinama toliau nurodomais dokumentais:</w:t>
      </w:r>
    </w:p>
    <w:p w:rsidR="00D23992" w:rsidRPr="00750E36" w:rsidRDefault="00D23992" w:rsidP="00D23992">
      <w:pPr>
        <w:pStyle w:val="Default"/>
        <w:ind w:left="708"/>
        <w:rPr>
          <w:sz w:val="26"/>
          <w:szCs w:val="26"/>
          <w:lang w:val="lt-LT"/>
        </w:rPr>
      </w:pPr>
      <w:r w:rsidRPr="00750E36">
        <w:rPr>
          <w:sz w:val="26"/>
          <w:szCs w:val="26"/>
          <w:lang w:val="lt-LT"/>
        </w:rPr>
        <w:t xml:space="preserve">17.1. </w:t>
      </w:r>
      <w:r w:rsidRPr="00524248">
        <w:rPr>
          <w:b/>
          <w:sz w:val="26"/>
          <w:szCs w:val="26"/>
          <w:lang w:val="lt-LT"/>
        </w:rPr>
        <w:t>jei pirkimas vykdomas žodžiu, pirkimą patvirtinantys dokumentai yra sutartis ir CVP IS paskelbta informacija apie ją, o jei sutartis sudaryta žodžiu – sąskaita faktūra arba kiti buhalterinės apskaitos dokumentai;</w:t>
      </w:r>
    </w:p>
    <w:p w:rsidR="00D23992" w:rsidRPr="00750E36" w:rsidRDefault="00D23992" w:rsidP="00D23992">
      <w:pPr>
        <w:pStyle w:val="Default"/>
        <w:ind w:left="708"/>
        <w:rPr>
          <w:sz w:val="26"/>
          <w:szCs w:val="26"/>
          <w:lang w:val="lt-LT"/>
        </w:rPr>
      </w:pPr>
      <w:r w:rsidRPr="00750E36">
        <w:rPr>
          <w:sz w:val="26"/>
          <w:szCs w:val="26"/>
          <w:lang w:val="lt-LT"/>
        </w:rPr>
        <w:lastRenderedPageBreak/>
        <w:t xml:space="preserve">17.2. </w:t>
      </w:r>
      <w:r w:rsidRPr="00524248">
        <w:rPr>
          <w:b/>
          <w:sz w:val="26"/>
          <w:szCs w:val="26"/>
          <w:lang w:val="lt-LT"/>
        </w:rPr>
        <w:t>jei pirkimas vykdomas raštu,</w:t>
      </w:r>
      <w:r w:rsidRPr="00750E36">
        <w:rPr>
          <w:sz w:val="26"/>
          <w:szCs w:val="26"/>
          <w:lang w:val="lt-LT"/>
        </w:rPr>
        <w:t xml:space="preserve">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w:t>
      </w:r>
      <w:r w:rsidRPr="00524248">
        <w:rPr>
          <w:b/>
          <w:sz w:val="26"/>
          <w:szCs w:val="26"/>
          <w:lang w:val="lt-LT"/>
        </w:rPr>
        <w:t>sąskaita faktūra arba kiti buhalterinės apskaitos dokumentai.</w:t>
      </w:r>
    </w:p>
    <w:p w:rsidR="00D23992" w:rsidRPr="00750E36" w:rsidRDefault="00D23992" w:rsidP="00D23992">
      <w:pPr>
        <w:pStyle w:val="Default"/>
        <w:ind w:left="708"/>
        <w:rPr>
          <w:sz w:val="26"/>
          <w:szCs w:val="26"/>
          <w:lang w:val="lt-LT"/>
        </w:rPr>
      </w:pPr>
      <w:r w:rsidRPr="00750E36">
        <w:rPr>
          <w:sz w:val="26"/>
          <w:szCs w:val="26"/>
          <w:lang w:val="lt-LT"/>
        </w:rPr>
        <w:t>18. Kokie dokumentai pildomi pirkimo procedūrų metu (neįskaitant nurodytų šio Aprašo 17 punkte), aprašomi šio Aprašo 21.5.0 punkte. Tais atvejais, kai pirkimą atlieka vienas asmuo ir jį patvirtinantys dokumentai yra saugomi to asmens elektroniniame pašte ar CVP IS naudotojo paskyroje, perkančioji organizacija užtikrina tokių dokumentų prieinamumą, iškilus tokiam poreikiui.</w:t>
      </w:r>
    </w:p>
    <w:p w:rsidR="00D23992" w:rsidRPr="00750E36" w:rsidRDefault="00D23992" w:rsidP="00D23992">
      <w:pPr>
        <w:pStyle w:val="Default"/>
        <w:ind w:left="708"/>
        <w:rPr>
          <w:sz w:val="26"/>
          <w:szCs w:val="26"/>
          <w:lang w:val="lt-LT"/>
        </w:rPr>
      </w:pPr>
      <w:r w:rsidRPr="00750E36">
        <w:rPr>
          <w:sz w:val="26"/>
          <w:szCs w:val="26"/>
          <w:lang w:val="lt-LT"/>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6030DB" w:rsidRPr="00750E36" w:rsidRDefault="00D23992" w:rsidP="00EE20FE">
      <w:pPr>
        <w:pStyle w:val="Default"/>
        <w:ind w:left="708"/>
        <w:rPr>
          <w:sz w:val="26"/>
          <w:szCs w:val="26"/>
          <w:lang w:val="lt-LT"/>
        </w:rPr>
      </w:pPr>
      <w:r w:rsidRPr="00750E36">
        <w:rPr>
          <w:sz w:val="26"/>
          <w:szCs w:val="26"/>
          <w:lang w:val="lt-LT"/>
        </w:rPr>
        <w:t>20. Perkančioji organizacija CVP IS priemonėmis Viešųjų pirkim</w:t>
      </w:r>
      <w:r w:rsidR="00524248">
        <w:rPr>
          <w:sz w:val="26"/>
          <w:szCs w:val="26"/>
          <w:lang w:val="lt-LT"/>
        </w:rPr>
        <w:t>ų tarnybai jos nustatyta tvarka,</w:t>
      </w:r>
      <w:r w:rsidRPr="00750E36">
        <w:rPr>
          <w:sz w:val="26"/>
          <w:szCs w:val="26"/>
          <w:lang w:val="lt-LT"/>
        </w:rPr>
        <w:t xml:space="preserve"> pateikia per kalendorinius metus sudarytų pirkimo sutarčių, atlikus mažos vertės pirkimą, ataskaitą. Ataskaita pateikiama per 30 dienų, pasibaigus atask</w:t>
      </w:r>
      <w:r w:rsidR="00EE20FE">
        <w:rPr>
          <w:sz w:val="26"/>
          <w:szCs w:val="26"/>
          <w:lang w:val="lt-LT"/>
        </w:rPr>
        <w:t>aitiniams kalendoriniams metams.</w:t>
      </w:r>
    </w:p>
    <w:p w:rsidR="006030DB" w:rsidRPr="00750E36" w:rsidRDefault="006030DB" w:rsidP="00D23992">
      <w:pPr>
        <w:pStyle w:val="Default"/>
        <w:ind w:left="708"/>
        <w:rPr>
          <w:sz w:val="26"/>
          <w:szCs w:val="26"/>
          <w:lang w:val="lt-LT"/>
        </w:rPr>
      </w:pPr>
    </w:p>
    <w:p w:rsidR="009536D5" w:rsidRDefault="009536D5" w:rsidP="00D23992">
      <w:pPr>
        <w:pStyle w:val="Default"/>
        <w:pageBreakBefore/>
        <w:ind w:left="708"/>
        <w:rPr>
          <w:b/>
          <w:bCs/>
          <w:sz w:val="26"/>
          <w:szCs w:val="26"/>
          <w:lang w:val="lt-LT"/>
        </w:rPr>
        <w:sectPr w:rsidR="009536D5" w:rsidSect="00F8004E">
          <w:pgSz w:w="11906" w:h="16838"/>
          <w:pgMar w:top="1134" w:right="1701" w:bottom="1134" w:left="850" w:header="708" w:footer="708" w:gutter="0"/>
          <w:cols w:space="708"/>
          <w:docGrid w:linePitch="360"/>
        </w:sectPr>
      </w:pPr>
    </w:p>
    <w:p w:rsidR="006030DB" w:rsidRPr="00750E36" w:rsidRDefault="006030DB" w:rsidP="00D23992">
      <w:pPr>
        <w:pStyle w:val="Default"/>
        <w:pageBreakBefore/>
        <w:ind w:left="708"/>
        <w:rPr>
          <w:sz w:val="26"/>
          <w:szCs w:val="26"/>
          <w:lang w:val="lt-LT"/>
        </w:rPr>
      </w:pPr>
      <w:r w:rsidRPr="00750E36">
        <w:rPr>
          <w:b/>
          <w:bCs/>
          <w:sz w:val="26"/>
          <w:szCs w:val="26"/>
          <w:lang w:val="lt-LT"/>
        </w:rPr>
        <w:lastRenderedPageBreak/>
        <w:t xml:space="preserve">II. PIRKIMO VYKDYMAS </w:t>
      </w:r>
    </w:p>
    <w:tbl>
      <w:tblPr>
        <w:tblW w:w="10904" w:type="dxa"/>
        <w:tblInd w:w="708" w:type="dxa"/>
        <w:tblBorders>
          <w:top w:val="nil"/>
          <w:left w:val="nil"/>
          <w:bottom w:val="nil"/>
          <w:right w:val="nil"/>
        </w:tblBorders>
        <w:tblLayout w:type="fixed"/>
        <w:tblLook w:val="0000" w:firstRow="0" w:lastRow="0" w:firstColumn="0" w:lastColumn="0" w:noHBand="0" w:noVBand="0"/>
      </w:tblPr>
      <w:tblGrid>
        <w:gridCol w:w="4219"/>
        <w:gridCol w:w="6685"/>
      </w:tblGrid>
      <w:tr w:rsidR="006030DB" w:rsidRPr="00750E36" w:rsidTr="00D23992">
        <w:trPr>
          <w:trHeight w:val="107"/>
        </w:trPr>
        <w:tc>
          <w:tcPr>
            <w:tcW w:w="4219" w:type="dxa"/>
          </w:tcPr>
          <w:p w:rsidR="006030DB" w:rsidRPr="00750E36" w:rsidRDefault="006030DB" w:rsidP="00D23992">
            <w:pPr>
              <w:pStyle w:val="Default"/>
              <w:rPr>
                <w:sz w:val="26"/>
                <w:szCs w:val="26"/>
                <w:lang w:val="lt-LT"/>
              </w:rPr>
            </w:pPr>
            <w:r w:rsidRPr="00750E36">
              <w:rPr>
                <w:sz w:val="26"/>
                <w:szCs w:val="26"/>
                <w:lang w:val="lt-LT"/>
              </w:rPr>
              <w:t xml:space="preserve">21. Pirkimo procedūros vykdomos toliau nurodyta seka: </w:t>
            </w:r>
            <w:r w:rsidRPr="00750E36">
              <w:rPr>
                <w:b/>
                <w:bCs/>
                <w:sz w:val="26"/>
                <w:szCs w:val="26"/>
                <w:lang w:val="lt-LT"/>
              </w:rPr>
              <w:t xml:space="preserve">Skelbiama apklausa </w:t>
            </w:r>
          </w:p>
        </w:tc>
        <w:tc>
          <w:tcPr>
            <w:tcW w:w="6685" w:type="dxa"/>
          </w:tcPr>
          <w:p w:rsidR="006030DB" w:rsidRPr="00750E36" w:rsidRDefault="006030DB" w:rsidP="00D23992">
            <w:pPr>
              <w:pStyle w:val="Default"/>
              <w:rPr>
                <w:sz w:val="26"/>
                <w:szCs w:val="26"/>
                <w:lang w:val="lt-LT"/>
              </w:rPr>
            </w:pPr>
            <w:r w:rsidRPr="00750E36">
              <w:rPr>
                <w:b/>
                <w:bCs/>
                <w:sz w:val="26"/>
                <w:szCs w:val="26"/>
                <w:lang w:val="lt-LT"/>
              </w:rPr>
              <w:t xml:space="preserve">Neskelbiama apklausa </w:t>
            </w:r>
          </w:p>
        </w:tc>
      </w:tr>
      <w:tr w:rsidR="006030DB" w:rsidRPr="00750E36" w:rsidTr="00D23992">
        <w:trPr>
          <w:trHeight w:val="107"/>
        </w:trPr>
        <w:tc>
          <w:tcPr>
            <w:tcW w:w="10904" w:type="dxa"/>
            <w:gridSpan w:val="2"/>
          </w:tcPr>
          <w:p w:rsidR="006030DB" w:rsidRPr="00750E36" w:rsidRDefault="006030DB" w:rsidP="00D23992">
            <w:pPr>
              <w:pStyle w:val="Default"/>
              <w:rPr>
                <w:sz w:val="26"/>
                <w:szCs w:val="26"/>
                <w:lang w:val="lt-LT"/>
              </w:rPr>
            </w:pPr>
            <w:r w:rsidRPr="00750E36">
              <w:rPr>
                <w:b/>
                <w:bCs/>
                <w:sz w:val="26"/>
                <w:szCs w:val="26"/>
                <w:lang w:val="lt-LT"/>
              </w:rPr>
              <w:t xml:space="preserve">21.1. Pirkimo būdo ypatumai </w:t>
            </w:r>
          </w:p>
        </w:tc>
      </w:tr>
      <w:tr w:rsidR="006030DB" w:rsidRPr="004B021D" w:rsidTr="00D23992">
        <w:trPr>
          <w:trHeight w:val="949"/>
        </w:trPr>
        <w:tc>
          <w:tcPr>
            <w:tcW w:w="4219" w:type="dxa"/>
          </w:tcPr>
          <w:p w:rsidR="006030DB" w:rsidRPr="00750E36" w:rsidRDefault="006030DB" w:rsidP="00D23992">
            <w:pPr>
              <w:pStyle w:val="Default"/>
              <w:rPr>
                <w:sz w:val="26"/>
                <w:szCs w:val="26"/>
                <w:lang w:val="lt-LT"/>
              </w:rPr>
            </w:pPr>
            <w:r w:rsidRPr="00750E36">
              <w:rPr>
                <w:sz w:val="26"/>
                <w:szCs w:val="26"/>
                <w:lang w:val="lt-LT"/>
              </w:rPr>
              <w:t xml:space="preserve">21.1.1. Atliekama CVP IS priemonėmis, užpildant skelbimą apie pirkimą, vadovaujantis Viešųjų pirkimų tarnybos nustatyta tvarka. </w:t>
            </w:r>
          </w:p>
        </w:tc>
        <w:tc>
          <w:tcPr>
            <w:tcW w:w="6685" w:type="dxa"/>
          </w:tcPr>
          <w:p w:rsidR="006030DB" w:rsidRPr="00750E36" w:rsidRDefault="006030DB" w:rsidP="00D23992">
            <w:pPr>
              <w:pStyle w:val="Default"/>
              <w:rPr>
                <w:sz w:val="26"/>
                <w:szCs w:val="26"/>
                <w:lang w:val="lt-LT"/>
              </w:rPr>
            </w:pPr>
            <w:r w:rsidRPr="00750E36">
              <w:rPr>
                <w:sz w:val="26"/>
                <w:szCs w:val="26"/>
                <w:lang w:val="lt-LT"/>
              </w:rPr>
              <w:t xml:space="preserve">21.1.1. Atliekama apklausiant pasirinktą skaičių tiekėjų. </w:t>
            </w:r>
          </w:p>
          <w:p w:rsidR="006030DB" w:rsidRPr="00750E36" w:rsidRDefault="006030DB" w:rsidP="00D23992">
            <w:pPr>
              <w:pStyle w:val="Default"/>
              <w:rPr>
                <w:sz w:val="26"/>
                <w:szCs w:val="26"/>
                <w:lang w:val="lt-LT"/>
              </w:rPr>
            </w:pPr>
            <w:r w:rsidRPr="00750E36">
              <w:rPr>
                <w:sz w:val="26"/>
                <w:szCs w:val="26"/>
                <w:lang w:val="lt-LT"/>
              </w:rPr>
              <w:t xml:space="preserve">21.1.2. Atliekama žodžiu (telefonu, tiesiogiai prekybos vietoje, vertinama internete tiekėjų skelbiama informacija apie prekių, paslaugų ar darbų kainą ir kitaip) arba raštu (CVP IS priemonėmis, elektroniniu paštu, paštu, faksu ar kitomis priemonėmis). </w:t>
            </w:r>
          </w:p>
          <w:p w:rsidR="006030DB" w:rsidRPr="00750E36" w:rsidRDefault="006030DB" w:rsidP="00D23992">
            <w:pPr>
              <w:pStyle w:val="Default"/>
              <w:rPr>
                <w:sz w:val="26"/>
                <w:szCs w:val="26"/>
                <w:lang w:val="lt-LT"/>
              </w:rPr>
            </w:pPr>
            <w:r w:rsidRPr="00750E36">
              <w:rPr>
                <w:sz w:val="26"/>
                <w:szCs w:val="26"/>
                <w:lang w:val="lt-LT"/>
              </w:rPr>
              <w:t>21.1.3.</w:t>
            </w:r>
            <w:r w:rsidR="00EE20FE">
              <w:rPr>
                <w:sz w:val="26"/>
                <w:szCs w:val="26"/>
                <w:lang w:val="lt-LT"/>
              </w:rPr>
              <w:t xml:space="preserve"> Aprašo 21.2.2, 21.2.4</w:t>
            </w:r>
            <w:r w:rsidRPr="00750E36">
              <w:rPr>
                <w:sz w:val="26"/>
                <w:szCs w:val="26"/>
                <w:lang w:val="lt-LT"/>
              </w:rPr>
              <w:t xml:space="preserve"> punktuose nurodytais atvejais apklausa turi būti vykdoma CVP IS priemonėmis. </w:t>
            </w:r>
          </w:p>
        </w:tc>
      </w:tr>
      <w:tr w:rsidR="006030DB" w:rsidRPr="009536D5" w:rsidTr="00D23992">
        <w:trPr>
          <w:trHeight w:val="107"/>
        </w:trPr>
        <w:tc>
          <w:tcPr>
            <w:tcW w:w="10904" w:type="dxa"/>
            <w:gridSpan w:val="2"/>
          </w:tcPr>
          <w:p w:rsidR="006030DB" w:rsidRPr="00750E36" w:rsidRDefault="006030DB" w:rsidP="00D23992">
            <w:pPr>
              <w:pStyle w:val="Default"/>
              <w:rPr>
                <w:sz w:val="26"/>
                <w:szCs w:val="26"/>
                <w:lang w:val="lt-LT"/>
              </w:rPr>
            </w:pPr>
            <w:r w:rsidRPr="00750E36">
              <w:rPr>
                <w:b/>
                <w:bCs/>
                <w:sz w:val="26"/>
                <w:szCs w:val="26"/>
                <w:lang w:val="lt-LT"/>
              </w:rPr>
              <w:t xml:space="preserve">21.2. Atvejai, kada pirkimas gali būti atliekamas apklausos būdu </w:t>
            </w:r>
          </w:p>
        </w:tc>
      </w:tr>
      <w:tr w:rsidR="006030DB" w:rsidRPr="004B021D" w:rsidTr="00D23992">
        <w:trPr>
          <w:trHeight w:val="2317"/>
        </w:trPr>
        <w:tc>
          <w:tcPr>
            <w:tcW w:w="4219" w:type="dxa"/>
          </w:tcPr>
          <w:p w:rsidR="006030DB" w:rsidRPr="00750E36" w:rsidRDefault="006030DB" w:rsidP="00D23992">
            <w:pPr>
              <w:pStyle w:val="Default"/>
              <w:rPr>
                <w:sz w:val="26"/>
                <w:szCs w:val="26"/>
                <w:lang w:val="lt-LT"/>
              </w:rPr>
            </w:pPr>
            <w:r w:rsidRPr="00750E36">
              <w:rPr>
                <w:sz w:val="26"/>
                <w:szCs w:val="26"/>
                <w:lang w:val="lt-LT"/>
              </w:rPr>
              <w:t xml:space="preserve">21.2.1. Pirkimas skelbiamos apklausos būdu gali būti vykdomas visais atvejais (net kai Aprašas leidžia rinktis paprastesnį pirkimo būdą (neskelbiamą apklausą raštu ar žodžiu)). </w:t>
            </w:r>
          </w:p>
        </w:tc>
        <w:tc>
          <w:tcPr>
            <w:tcW w:w="6685" w:type="dxa"/>
          </w:tcPr>
          <w:p w:rsidR="006030DB" w:rsidRPr="00750E36" w:rsidRDefault="006030DB" w:rsidP="00D23992">
            <w:pPr>
              <w:pStyle w:val="Default"/>
              <w:rPr>
                <w:sz w:val="26"/>
                <w:szCs w:val="26"/>
                <w:lang w:val="lt-LT"/>
              </w:rPr>
            </w:pPr>
            <w:r w:rsidRPr="00750E36">
              <w:rPr>
                <w:sz w:val="26"/>
                <w:szCs w:val="26"/>
                <w:lang w:val="lt-LT"/>
              </w:rPr>
              <w:t xml:space="preserve">21.2.1. </w:t>
            </w:r>
            <w:r w:rsidRPr="00524248">
              <w:rPr>
                <w:b/>
                <w:sz w:val="26"/>
                <w:szCs w:val="26"/>
                <w:lang w:val="lt-LT"/>
              </w:rPr>
              <w:t>jei numatoma pirkimo sutarties vertė yra mažesnė kaip 10 000 EUR (dešimt tūkstančių eurų) (be PVM);</w:t>
            </w:r>
            <w:r w:rsidRPr="00750E36">
              <w:rPr>
                <w:sz w:val="26"/>
                <w:szCs w:val="26"/>
                <w:lang w:val="lt-LT"/>
              </w:rPr>
              <w:t xml:space="preserve"> </w:t>
            </w:r>
          </w:p>
          <w:p w:rsidR="006030DB" w:rsidRPr="00750E36" w:rsidRDefault="006030DB" w:rsidP="00D23992">
            <w:pPr>
              <w:pStyle w:val="Default"/>
              <w:rPr>
                <w:sz w:val="26"/>
                <w:szCs w:val="26"/>
                <w:lang w:val="lt-LT"/>
              </w:rPr>
            </w:pPr>
            <w:r w:rsidRPr="00750E36">
              <w:rPr>
                <w:sz w:val="26"/>
                <w:szCs w:val="26"/>
                <w:lang w:val="lt-LT"/>
              </w:rPr>
              <w:t xml:space="preserve">21.2.2. jei pirkime, apie kurį buvo skelbta, nebuvo gauta paraiškų ar pasiūlymų arba visos pateiktos paraiškos ar pasiūlymai yra netinkami, o pirminės pirkimo sąlygos iš esmės nekeičiamos; </w:t>
            </w:r>
          </w:p>
          <w:p w:rsidR="006030DB" w:rsidRPr="00750E36" w:rsidRDefault="006030DB" w:rsidP="00D23992">
            <w:pPr>
              <w:pStyle w:val="Default"/>
              <w:rPr>
                <w:sz w:val="26"/>
                <w:szCs w:val="26"/>
                <w:lang w:val="lt-LT"/>
              </w:rPr>
            </w:pPr>
            <w:r w:rsidRPr="00750E36">
              <w:rPr>
                <w:sz w:val="26"/>
                <w:szCs w:val="26"/>
                <w:lang w:val="lt-LT"/>
              </w:rPr>
              <w:t xml:space="preserve">21.2.3. kai dėl įvykių, kurių perkančioji organizacija negalėjo iš anksto numatyti, būtina ypač skubiai įsigyti prekių, paslaugų ar darbų. Aplinkybės, kuriomis grindžiama ypatinga skuba, negali priklausyti nuo perkančiosios organizacijos; </w:t>
            </w:r>
          </w:p>
          <w:p w:rsidR="006030DB" w:rsidRPr="00750E36" w:rsidRDefault="006030DB" w:rsidP="00D23992">
            <w:pPr>
              <w:pStyle w:val="Default"/>
              <w:rPr>
                <w:sz w:val="26"/>
                <w:szCs w:val="26"/>
                <w:lang w:val="lt-LT"/>
              </w:rPr>
            </w:pPr>
            <w:r w:rsidRPr="00750E36">
              <w:rPr>
                <w:sz w:val="26"/>
                <w:szCs w:val="26"/>
                <w:lang w:val="lt-LT"/>
              </w:rPr>
              <w:t>21.2.4. kai paslaugos perkamos po projekto konkurso, apie kurį buvo skelbta CVP IS, jeigu pirkimo sutartis sudaroma pagal projekto konkurse nustatytas taisykles ir perkama iš projekto konkurso laimėtojo arba vieno iš jų. Pastaruoju atveju į apk</w:t>
            </w:r>
            <w:r w:rsidR="004B021D">
              <w:rPr>
                <w:sz w:val="26"/>
                <w:szCs w:val="26"/>
                <w:lang w:val="lt-LT"/>
              </w:rPr>
              <w:t>lausą kviečiami visi laimėtojai.</w:t>
            </w:r>
            <w:bookmarkStart w:id="0" w:name="_GoBack"/>
            <w:bookmarkEnd w:id="0"/>
            <w:r w:rsidRPr="00750E36">
              <w:rPr>
                <w:sz w:val="26"/>
                <w:szCs w:val="26"/>
                <w:lang w:val="lt-LT"/>
              </w:rPr>
              <w:t xml:space="preserve"> </w:t>
            </w:r>
          </w:p>
          <w:p w:rsidR="006030DB" w:rsidRPr="00750E36" w:rsidRDefault="006030DB" w:rsidP="009536D5">
            <w:pPr>
              <w:pStyle w:val="Default"/>
              <w:rPr>
                <w:sz w:val="26"/>
                <w:szCs w:val="26"/>
                <w:lang w:val="lt-LT"/>
              </w:rPr>
            </w:pPr>
          </w:p>
        </w:tc>
      </w:tr>
    </w:tbl>
    <w:p w:rsidR="009536D5" w:rsidRDefault="009536D5" w:rsidP="00D23992">
      <w:pPr>
        <w:spacing w:after="0" w:line="240" w:lineRule="auto"/>
        <w:ind w:left="708"/>
        <w:rPr>
          <w:sz w:val="26"/>
          <w:szCs w:val="26"/>
          <w:lang w:val="lt-LT"/>
        </w:rPr>
        <w:sectPr w:rsidR="009536D5" w:rsidSect="009536D5">
          <w:pgSz w:w="16838" w:h="11906" w:orient="landscape"/>
          <w:pgMar w:top="851" w:right="1134" w:bottom="1701" w:left="1134" w:header="709" w:footer="709" w:gutter="0"/>
          <w:cols w:space="708"/>
          <w:docGrid w:linePitch="360"/>
        </w:sectPr>
      </w:pPr>
    </w:p>
    <w:p w:rsidR="00EA5C3F" w:rsidRDefault="00EA5C3F" w:rsidP="007D72E8">
      <w:pPr>
        <w:keepLines/>
        <w:tabs>
          <w:tab w:val="left" w:pos="1304"/>
          <w:tab w:val="left" w:pos="1457"/>
          <w:tab w:val="left" w:pos="1604"/>
          <w:tab w:val="left" w:pos="1757"/>
        </w:tabs>
        <w:suppressAutoHyphens/>
        <w:spacing w:after="0" w:line="240" w:lineRule="auto"/>
        <w:ind w:left="113" w:firstLine="6237"/>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Jašiūnų lopšelio-</w:t>
      </w:r>
    </w:p>
    <w:p w:rsidR="007D72E8" w:rsidRDefault="00EA5C3F" w:rsidP="007D72E8">
      <w:pPr>
        <w:keepLines/>
        <w:tabs>
          <w:tab w:val="left" w:pos="1304"/>
          <w:tab w:val="left" w:pos="1457"/>
          <w:tab w:val="left" w:pos="1604"/>
          <w:tab w:val="left" w:pos="1757"/>
        </w:tabs>
        <w:suppressAutoHyphens/>
        <w:spacing w:after="0" w:line="240" w:lineRule="auto"/>
        <w:ind w:left="113" w:firstLine="6237"/>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darželio „Žilvitis“ mažos </w:t>
      </w:r>
    </w:p>
    <w:p w:rsidR="00EA5C3F" w:rsidRDefault="00EA5C3F" w:rsidP="007D72E8">
      <w:pPr>
        <w:keepLines/>
        <w:tabs>
          <w:tab w:val="left" w:pos="1304"/>
          <w:tab w:val="left" w:pos="1457"/>
          <w:tab w:val="left" w:pos="1604"/>
          <w:tab w:val="left" w:pos="1757"/>
        </w:tabs>
        <w:suppressAutoHyphens/>
        <w:spacing w:after="0" w:line="240" w:lineRule="auto"/>
        <w:ind w:left="113" w:firstLine="6237"/>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vertės</w:t>
      </w:r>
    </w:p>
    <w:p w:rsidR="007D72E8" w:rsidRDefault="00EA5C3F" w:rsidP="007D72E8">
      <w:pPr>
        <w:keepLines/>
        <w:tabs>
          <w:tab w:val="left" w:pos="1304"/>
          <w:tab w:val="left" w:pos="1457"/>
          <w:tab w:val="left" w:pos="1604"/>
          <w:tab w:val="left" w:pos="1757"/>
        </w:tabs>
        <w:suppressAutoHyphens/>
        <w:spacing w:after="0" w:line="240" w:lineRule="auto"/>
        <w:ind w:left="113" w:firstLine="6237"/>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pirkimų </w:t>
      </w:r>
      <w:r w:rsidRPr="00B4441E">
        <w:rPr>
          <w:rFonts w:ascii="Times New Roman" w:eastAsia="Times New Roman" w:hAnsi="Times New Roman" w:cs="Times New Roman"/>
          <w:color w:val="000000"/>
          <w:sz w:val="24"/>
          <w:szCs w:val="24"/>
          <w:lang w:val="lt-LT"/>
        </w:rPr>
        <w:t>tvarkos aprašo</w:t>
      </w:r>
      <w:r>
        <w:rPr>
          <w:rFonts w:ascii="Times New Roman" w:eastAsia="Times New Roman" w:hAnsi="Times New Roman" w:cs="Times New Roman"/>
          <w:color w:val="000000"/>
          <w:sz w:val="24"/>
          <w:szCs w:val="24"/>
          <w:lang w:val="lt-LT"/>
        </w:rPr>
        <w:t>1</w:t>
      </w:r>
      <w:r w:rsidRPr="00B4441E">
        <w:rPr>
          <w:rFonts w:ascii="Times New Roman" w:eastAsia="Times New Roman" w:hAnsi="Times New Roman" w:cs="Times New Roman"/>
          <w:color w:val="000000"/>
          <w:sz w:val="24"/>
          <w:szCs w:val="24"/>
          <w:lang w:val="lt-LT"/>
        </w:rPr>
        <w:t xml:space="preserve"> </w:t>
      </w:r>
    </w:p>
    <w:p w:rsidR="00EA5C3F" w:rsidRPr="00B4441E" w:rsidRDefault="00EA5C3F" w:rsidP="007D72E8">
      <w:pPr>
        <w:keepLines/>
        <w:tabs>
          <w:tab w:val="left" w:pos="1304"/>
          <w:tab w:val="left" w:pos="1457"/>
          <w:tab w:val="left" w:pos="1604"/>
          <w:tab w:val="left" w:pos="1757"/>
        </w:tabs>
        <w:suppressAutoHyphens/>
        <w:spacing w:after="0" w:line="240" w:lineRule="auto"/>
        <w:ind w:left="113" w:firstLine="6237"/>
        <w:textAlignment w:val="center"/>
        <w:rPr>
          <w:rFonts w:ascii="Times New Roman" w:eastAsia="Times New Roman" w:hAnsi="Times New Roman" w:cs="Times New Roman"/>
          <w:color w:val="000000"/>
          <w:sz w:val="24"/>
          <w:szCs w:val="24"/>
          <w:lang w:val="lt-LT"/>
        </w:rPr>
      </w:pPr>
      <w:r w:rsidRPr="00B4441E">
        <w:rPr>
          <w:rFonts w:ascii="Times New Roman" w:eastAsia="Times New Roman" w:hAnsi="Times New Roman" w:cs="Times New Roman"/>
          <w:color w:val="000000"/>
          <w:sz w:val="24"/>
          <w:szCs w:val="24"/>
          <w:lang w:val="lt-LT"/>
        </w:rPr>
        <w:t>priedas</w:t>
      </w:r>
    </w:p>
    <w:p w:rsidR="00EA5C3F" w:rsidRDefault="00EA5C3F" w:rsidP="00D23992">
      <w:pPr>
        <w:keepLines/>
        <w:tabs>
          <w:tab w:val="left" w:pos="1304"/>
          <w:tab w:val="left" w:pos="1457"/>
          <w:tab w:val="left" w:pos="1604"/>
          <w:tab w:val="left" w:pos="1757"/>
        </w:tabs>
        <w:suppressAutoHyphens/>
        <w:spacing w:after="0" w:line="240" w:lineRule="auto"/>
        <w:ind w:left="708"/>
        <w:textAlignment w:val="center"/>
        <w:rPr>
          <w:rFonts w:ascii="Times New Roman" w:eastAsia="Times New Roman" w:hAnsi="Times New Roman" w:cs="Times New Roman"/>
          <w:color w:val="000000"/>
          <w:sz w:val="24"/>
          <w:szCs w:val="24"/>
          <w:lang w:val="lt-LT"/>
        </w:rPr>
      </w:pP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b/>
          <w:sz w:val="28"/>
          <w:szCs w:val="28"/>
          <w:lang w:val="lt-LT"/>
        </w:rPr>
      </w:pP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b/>
          <w:sz w:val="24"/>
          <w:szCs w:val="24"/>
          <w:lang w:val="lt-LT"/>
        </w:rPr>
      </w:pPr>
      <w:r w:rsidRPr="00B4441E">
        <w:rPr>
          <w:rFonts w:ascii="Times New Roman" w:eastAsia="Times New Roman" w:hAnsi="Times New Roman" w:cs="Times New Roman"/>
          <w:b/>
          <w:sz w:val="24"/>
          <w:szCs w:val="24"/>
          <w:lang w:val="lt-LT"/>
        </w:rPr>
        <w:t>(Mažos vertės pirkimo pažymos forma)</w:t>
      </w: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b/>
          <w:sz w:val="28"/>
          <w:szCs w:val="28"/>
          <w:lang w:val="lt-LT"/>
        </w:rPr>
      </w:pP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b/>
          <w:sz w:val="28"/>
          <w:szCs w:val="28"/>
          <w:lang w:val="lt-LT"/>
        </w:rPr>
      </w:pPr>
      <w:r w:rsidRPr="00B4441E">
        <w:rPr>
          <w:rFonts w:ascii="Times New Roman" w:eastAsia="Times New Roman" w:hAnsi="Times New Roman" w:cs="Times New Roman"/>
          <w:b/>
          <w:sz w:val="28"/>
          <w:szCs w:val="28"/>
          <w:lang w:val="lt-LT"/>
        </w:rPr>
        <w:t>MAŽOS VERTĖS PIRKIMO PAŽYMA</w:t>
      </w: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sz w:val="24"/>
          <w:szCs w:val="20"/>
          <w:lang w:val="lt-LT"/>
        </w:rPr>
      </w:pP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 xml:space="preserve">20     m.                        </w:t>
      </w:r>
      <w:r w:rsidRPr="00B4441E">
        <w:rPr>
          <w:rFonts w:ascii="Times New Roman" w:eastAsia="Times New Roman" w:hAnsi="Times New Roman" w:cs="Times New Roman"/>
          <w:sz w:val="24"/>
          <w:szCs w:val="20"/>
          <w:lang w:val="lt-LT"/>
        </w:rPr>
        <w:t xml:space="preserve"> d.</w:t>
      </w: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iCs/>
          <w:sz w:val="24"/>
          <w:szCs w:val="20"/>
          <w:lang w:val="lt-LT"/>
        </w:rPr>
        <w:t>Jašiūnai</w:t>
      </w:r>
    </w:p>
    <w:p w:rsidR="00EA5C3F" w:rsidRPr="00B4441E" w:rsidRDefault="00EA5C3F" w:rsidP="00D23992">
      <w:pPr>
        <w:suppressAutoHyphens/>
        <w:spacing w:after="0" w:line="240" w:lineRule="auto"/>
        <w:ind w:left="708"/>
        <w:jc w:val="center"/>
        <w:textAlignment w:val="baseline"/>
        <w:rPr>
          <w:rFonts w:ascii="Times New Roman" w:eastAsia="Times New Roman" w:hAnsi="Times New Roman" w:cs="Times New Roman"/>
          <w:b/>
          <w:sz w:val="24"/>
          <w:szCs w:val="20"/>
          <w:lang w:val="lt-LT"/>
        </w:rPr>
      </w:pPr>
    </w:p>
    <w:tbl>
      <w:tblPr>
        <w:tblW w:w="100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EA5C3F" w:rsidRPr="00C911BF" w:rsidTr="00D23992">
        <w:tc>
          <w:tcPr>
            <w:tcW w:w="10060" w:type="dxa"/>
            <w:tcBorders>
              <w:top w:val="single" w:sz="4" w:space="0" w:color="auto"/>
              <w:left w:val="single" w:sz="4" w:space="0" w:color="auto"/>
              <w:bottom w:val="single" w:sz="4" w:space="0" w:color="auto"/>
              <w:right w:val="single" w:sz="4" w:space="0" w:color="auto"/>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Pirkimo organizatorius:</w:t>
            </w:r>
            <w:r>
              <w:rPr>
                <w:rFonts w:ascii="Times New Roman" w:eastAsia="Times New Roman" w:hAnsi="Times New Roman" w:cs="Times New Roman"/>
                <w:sz w:val="24"/>
                <w:szCs w:val="20"/>
                <w:lang w:val="lt-LT"/>
              </w:rPr>
              <w:t xml:space="preserve">  </w:t>
            </w:r>
          </w:p>
          <w:p w:rsidR="00EA5C3F" w:rsidRPr="00B4441E" w:rsidRDefault="00EA5C3F" w:rsidP="00D23992">
            <w:pPr>
              <w:spacing w:after="0" w:line="240" w:lineRule="auto"/>
              <w:rPr>
                <w:rFonts w:ascii="Times New Roman" w:eastAsia="Times New Roman" w:hAnsi="Times New Roman" w:cs="Times New Roman"/>
                <w:sz w:val="24"/>
                <w:szCs w:val="20"/>
                <w:lang w:val="lt-LT"/>
              </w:rPr>
            </w:pPr>
          </w:p>
        </w:tc>
      </w:tr>
      <w:tr w:rsidR="00EA5C3F" w:rsidRPr="00C911BF" w:rsidTr="00D23992">
        <w:tc>
          <w:tcPr>
            <w:tcW w:w="10060" w:type="dxa"/>
            <w:tcBorders>
              <w:top w:val="single" w:sz="4" w:space="0" w:color="auto"/>
              <w:left w:val="single" w:sz="4" w:space="0" w:color="auto"/>
              <w:bottom w:val="single" w:sz="4" w:space="0" w:color="auto"/>
              <w:right w:val="single" w:sz="4" w:space="0" w:color="auto"/>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Pirkimo objekto pavadinimas:</w:t>
            </w:r>
          </w:p>
          <w:p w:rsidR="00EA5C3F" w:rsidRPr="00B4441E" w:rsidRDefault="00EA5C3F" w:rsidP="00D23992">
            <w:pPr>
              <w:spacing w:after="0" w:line="240" w:lineRule="auto"/>
              <w:rPr>
                <w:rFonts w:ascii="Times New Roman" w:eastAsia="Times New Roman" w:hAnsi="Times New Roman" w:cs="Times New Roman"/>
                <w:sz w:val="24"/>
                <w:szCs w:val="20"/>
                <w:lang w:val="lt-LT"/>
              </w:rPr>
            </w:pPr>
          </w:p>
        </w:tc>
      </w:tr>
    </w:tbl>
    <w:p w:rsidR="00EA5C3F" w:rsidRPr="00B4441E" w:rsidRDefault="00EA5C3F" w:rsidP="00D23992">
      <w:pPr>
        <w:suppressAutoHyphens/>
        <w:spacing w:after="0" w:line="240" w:lineRule="auto"/>
        <w:ind w:left="708"/>
        <w:textAlignment w:val="baseline"/>
        <w:rPr>
          <w:rFonts w:ascii="Times New Roman" w:eastAsia="Times New Roman" w:hAnsi="Times New Roman" w:cs="Times New Roman"/>
          <w:sz w:val="24"/>
          <w:szCs w:val="20"/>
          <w:highlight w:val="darkGray"/>
          <w:lang w:val="lt-LT"/>
        </w:rPr>
      </w:pPr>
    </w:p>
    <w:p w:rsidR="00EA5C3F" w:rsidRPr="00B4441E" w:rsidRDefault="00EA5C3F" w:rsidP="00D23992">
      <w:pPr>
        <w:suppressAutoHyphens/>
        <w:spacing w:after="0" w:line="240" w:lineRule="auto"/>
        <w:ind w:left="708"/>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Informacija apie tiekėjus:</w:t>
      </w:r>
    </w:p>
    <w:tbl>
      <w:tblPr>
        <w:tblW w:w="100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4820"/>
        <w:gridCol w:w="1701"/>
      </w:tblGrid>
      <w:tr w:rsidR="00EA5C3F" w:rsidRPr="00B4441E" w:rsidTr="00D23992">
        <w:tc>
          <w:tcPr>
            <w:tcW w:w="846"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Eil. Nr.</w:t>
            </w:r>
          </w:p>
        </w:tc>
        <w:tc>
          <w:tcPr>
            <w:tcW w:w="2693" w:type="dxa"/>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Tiekėjai, į kuriuos buvo kreiptasi dėl perkamo objekto</w:t>
            </w:r>
          </w:p>
        </w:tc>
        <w:tc>
          <w:tcPr>
            <w:tcW w:w="4820" w:type="dxa"/>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Pasiūlymo kaina (Eur) ir kitos svarbios aplinkybės</w:t>
            </w:r>
          </w:p>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i/>
                <w:sz w:val="24"/>
                <w:szCs w:val="20"/>
                <w:lang w:val="lt-LT"/>
              </w:rPr>
              <w:t>(nurodyti)</w:t>
            </w:r>
          </w:p>
        </w:tc>
        <w:tc>
          <w:tcPr>
            <w:tcW w:w="1701" w:type="dxa"/>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sz w:val="24"/>
                <w:szCs w:val="20"/>
                <w:lang w:val="lt-LT"/>
              </w:rPr>
            </w:pPr>
            <w:r w:rsidRPr="00B4441E">
              <w:rPr>
                <w:rFonts w:ascii="Times New Roman" w:eastAsia="Times New Roman" w:hAnsi="Times New Roman" w:cs="Times New Roman"/>
                <w:sz w:val="24"/>
                <w:szCs w:val="20"/>
                <w:lang w:val="lt-LT"/>
              </w:rPr>
              <w:t>Pastabos</w:t>
            </w:r>
          </w:p>
        </w:tc>
      </w:tr>
      <w:tr w:rsidR="00EA5C3F" w:rsidRPr="00B4441E" w:rsidTr="00D23992">
        <w:tc>
          <w:tcPr>
            <w:tcW w:w="846" w:type="dxa"/>
          </w:tcPr>
          <w:p w:rsidR="00EA5C3F" w:rsidRPr="00B4441E" w:rsidRDefault="00EA5C3F" w:rsidP="00D23992">
            <w:pPr>
              <w:spacing w:after="0" w:line="240" w:lineRule="auto"/>
              <w:rPr>
                <w:rFonts w:ascii="Times New Roman" w:eastAsia="Times New Roman" w:hAnsi="Times New Roman" w:cs="Times New Roman"/>
                <w:sz w:val="24"/>
                <w:szCs w:val="20"/>
                <w:lang w:val="lt-LT"/>
              </w:rPr>
            </w:pPr>
          </w:p>
        </w:tc>
        <w:tc>
          <w:tcPr>
            <w:tcW w:w="2693"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4820" w:type="dxa"/>
          </w:tcPr>
          <w:p w:rsidR="00EA5C3F"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1701"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r>
      <w:tr w:rsidR="00EA5C3F" w:rsidRPr="00B4441E" w:rsidTr="00D23992">
        <w:tc>
          <w:tcPr>
            <w:tcW w:w="846"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2693"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4820" w:type="dxa"/>
          </w:tcPr>
          <w:p w:rsidR="00EA5C3F"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p w:rsidR="00EA5C3F"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1701"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r>
      <w:tr w:rsidR="00EA5C3F" w:rsidRPr="00B4441E" w:rsidTr="00D23992">
        <w:tc>
          <w:tcPr>
            <w:tcW w:w="846"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2693"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4820" w:type="dxa"/>
          </w:tcPr>
          <w:p w:rsidR="00EA5C3F"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c>
          <w:tcPr>
            <w:tcW w:w="1701" w:type="dxa"/>
          </w:tcPr>
          <w:p w:rsidR="00EA5C3F" w:rsidRPr="00B4441E" w:rsidRDefault="00EA5C3F" w:rsidP="00D23992">
            <w:pPr>
              <w:suppressAutoHyphens/>
              <w:spacing w:after="0" w:line="240" w:lineRule="auto"/>
              <w:textAlignment w:val="baseline"/>
              <w:rPr>
                <w:rFonts w:ascii="Times New Roman" w:eastAsia="Times New Roman" w:hAnsi="Times New Roman" w:cs="Times New Roman"/>
                <w:sz w:val="24"/>
                <w:szCs w:val="20"/>
                <w:lang w:val="lt-LT"/>
              </w:rPr>
            </w:pPr>
          </w:p>
        </w:tc>
      </w:tr>
    </w:tbl>
    <w:p w:rsidR="00EA5C3F" w:rsidRPr="00B4441E" w:rsidRDefault="00EA5C3F" w:rsidP="00D23992">
      <w:pPr>
        <w:suppressAutoHyphens/>
        <w:spacing w:after="0" w:line="240" w:lineRule="auto"/>
        <w:ind w:left="708"/>
        <w:textAlignment w:val="baseline"/>
        <w:rPr>
          <w:rFonts w:ascii="Times New Roman" w:eastAsia="Times New Roman" w:hAnsi="Times New Roman" w:cs="Times New Roman"/>
          <w:sz w:val="24"/>
          <w:szCs w:val="20"/>
          <w:lang w:val="lt-LT"/>
        </w:rPr>
      </w:pPr>
    </w:p>
    <w:tbl>
      <w:tblPr>
        <w:tblW w:w="100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EA5C3F" w:rsidRPr="00B4441E" w:rsidTr="00D23992">
        <w:tc>
          <w:tcPr>
            <w:tcW w:w="10060" w:type="dxa"/>
            <w:tcBorders>
              <w:top w:val="single" w:sz="4" w:space="0" w:color="auto"/>
              <w:left w:val="single" w:sz="4" w:space="0" w:color="auto"/>
              <w:bottom w:val="single" w:sz="4" w:space="0" w:color="auto"/>
              <w:right w:val="single" w:sz="4" w:space="0" w:color="auto"/>
            </w:tcBorders>
          </w:tcPr>
          <w:p w:rsidR="00EA5C3F" w:rsidRPr="00B4441E" w:rsidRDefault="00EA5C3F" w:rsidP="00D23992">
            <w:pPr>
              <w:shd w:val="clear" w:color="auto" w:fill="FFFFFF"/>
              <w:tabs>
                <w:tab w:val="center" w:pos="8647"/>
              </w:tabs>
              <w:suppressAutoHyphens/>
              <w:spacing w:after="0" w:line="240" w:lineRule="auto"/>
              <w:textAlignment w:val="baseline"/>
              <w:rPr>
                <w:rFonts w:ascii="Times New Roman" w:eastAsia="Times New Roman" w:hAnsi="Times New Roman" w:cs="Times New Roman"/>
                <w:color w:val="000000"/>
                <w:spacing w:val="-6"/>
                <w:sz w:val="24"/>
                <w:szCs w:val="20"/>
                <w:lang w:val="lt-LT"/>
              </w:rPr>
            </w:pPr>
            <w:r w:rsidRPr="00B4441E">
              <w:rPr>
                <w:rFonts w:ascii="Times New Roman" w:eastAsia="Times New Roman" w:hAnsi="Times New Roman" w:cs="Times New Roman"/>
                <w:color w:val="000000"/>
                <w:spacing w:val="-6"/>
                <w:sz w:val="24"/>
                <w:szCs w:val="20"/>
                <w:lang w:val="lt-LT"/>
              </w:rPr>
              <w:t>NUSTATAU laimėtoją _______________________________ ir NUTARIU su juo sudaryti pirkimo sutartį.</w:t>
            </w:r>
          </w:p>
          <w:p w:rsidR="00EA5C3F" w:rsidRPr="00B4441E" w:rsidRDefault="00EA5C3F" w:rsidP="00D23992">
            <w:pPr>
              <w:shd w:val="clear" w:color="auto" w:fill="FFFFFF"/>
              <w:tabs>
                <w:tab w:val="center" w:pos="8647"/>
              </w:tabs>
              <w:suppressAutoHyphens/>
              <w:spacing w:after="0" w:line="240" w:lineRule="auto"/>
              <w:ind w:firstLine="2622"/>
              <w:textAlignment w:val="baseline"/>
              <w:rPr>
                <w:rFonts w:ascii="Times New Roman" w:eastAsia="Times New Roman" w:hAnsi="Times New Roman" w:cs="Times New Roman"/>
                <w:i/>
                <w:color w:val="000000"/>
                <w:spacing w:val="-6"/>
                <w:lang w:val="lt-LT"/>
              </w:rPr>
            </w:pPr>
            <w:r w:rsidRPr="00B4441E">
              <w:rPr>
                <w:rFonts w:ascii="Times New Roman" w:eastAsia="Times New Roman" w:hAnsi="Times New Roman" w:cs="Times New Roman"/>
                <w:i/>
                <w:color w:val="000000"/>
                <w:spacing w:val="-6"/>
                <w:lang w:val="lt-LT"/>
              </w:rPr>
              <w:t>(nurodyti laimėjusio tiekėjo pavadinimą)</w:t>
            </w:r>
          </w:p>
          <w:p w:rsidR="00EA5C3F" w:rsidRPr="00B4441E" w:rsidRDefault="00EA5C3F" w:rsidP="00D23992">
            <w:pPr>
              <w:shd w:val="clear" w:color="auto" w:fill="FFFFFF"/>
              <w:tabs>
                <w:tab w:val="center" w:pos="8647"/>
              </w:tabs>
              <w:suppressAutoHyphens/>
              <w:spacing w:after="0" w:line="240" w:lineRule="auto"/>
              <w:textAlignment w:val="baseline"/>
              <w:rPr>
                <w:rFonts w:ascii="Times New Roman" w:eastAsia="Times New Roman" w:hAnsi="Times New Roman" w:cs="Times New Roman"/>
                <w:i/>
                <w:spacing w:val="-6"/>
                <w:lang w:val="lt-LT"/>
              </w:rPr>
            </w:pPr>
          </w:p>
        </w:tc>
      </w:tr>
      <w:tr w:rsidR="00EA5C3F" w:rsidRPr="00B4441E" w:rsidTr="00D23992">
        <w:tc>
          <w:tcPr>
            <w:tcW w:w="10060" w:type="dxa"/>
            <w:tcBorders>
              <w:top w:val="single" w:sz="4" w:space="0" w:color="auto"/>
              <w:left w:val="single" w:sz="4" w:space="0" w:color="auto"/>
              <w:bottom w:val="single" w:sz="4" w:space="0" w:color="auto"/>
              <w:right w:val="single" w:sz="4" w:space="0" w:color="auto"/>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b/>
                <w:sz w:val="24"/>
                <w:szCs w:val="20"/>
                <w:lang w:val="lt-LT"/>
              </w:rPr>
            </w:pPr>
            <w:r w:rsidRPr="00B4441E">
              <w:rPr>
                <w:rFonts w:ascii="Times New Roman" w:eastAsia="Times New Roman" w:hAnsi="Times New Roman" w:cs="Times New Roman"/>
                <w:sz w:val="24"/>
                <w:szCs w:val="20"/>
                <w:lang w:val="lt-LT"/>
              </w:rPr>
              <w:t>Pastabos:</w:t>
            </w:r>
            <w:r w:rsidRPr="00B4441E">
              <w:rPr>
                <w:rFonts w:ascii="Times New Roman" w:eastAsia="Times New Roman" w:hAnsi="Times New Roman" w:cs="Times New Roman"/>
                <w:b/>
                <w:sz w:val="24"/>
                <w:szCs w:val="20"/>
                <w:lang w:val="lt-LT"/>
              </w:rPr>
              <w:t xml:space="preserve"> ________________________________________________________________________</w:t>
            </w:r>
          </w:p>
          <w:p w:rsidR="00EA5C3F" w:rsidRPr="00B4441E" w:rsidRDefault="00EA5C3F" w:rsidP="00D23992">
            <w:pPr>
              <w:suppressAutoHyphens/>
              <w:spacing w:after="0" w:line="240" w:lineRule="auto"/>
              <w:ind w:firstLine="912"/>
              <w:textAlignment w:val="baseline"/>
              <w:rPr>
                <w:rFonts w:ascii="Times New Roman" w:eastAsia="Times New Roman" w:hAnsi="Times New Roman" w:cs="Times New Roman"/>
                <w:i/>
                <w:lang w:val="lt-LT"/>
              </w:rPr>
            </w:pPr>
            <w:r w:rsidRPr="00B4441E">
              <w:rPr>
                <w:rFonts w:ascii="Times New Roman" w:eastAsia="Times New Roman" w:hAnsi="Times New Roman" w:cs="Times New Roman"/>
                <w:i/>
                <w:lang w:val="lt-LT"/>
              </w:rPr>
              <w:t>(nurodyti, ar: sudaryta pasiūlymų eilė, tiekėjai informuoti apie pirkimo rezultatus, gauta pretenzijų</w:t>
            </w:r>
          </w:p>
          <w:p w:rsidR="00EA5C3F" w:rsidRPr="00B4441E" w:rsidRDefault="00EA5C3F" w:rsidP="00D23992">
            <w:pPr>
              <w:suppressAutoHyphens/>
              <w:spacing w:after="0" w:line="240" w:lineRule="auto"/>
              <w:ind w:firstLine="969"/>
              <w:textAlignment w:val="baseline"/>
              <w:rPr>
                <w:rFonts w:ascii="Times New Roman" w:eastAsia="Times New Roman" w:hAnsi="Times New Roman" w:cs="Times New Roman"/>
                <w:i/>
                <w:lang w:val="lt-LT"/>
              </w:rPr>
            </w:pPr>
            <w:r w:rsidRPr="00B4441E">
              <w:rPr>
                <w:rFonts w:ascii="Times New Roman" w:eastAsia="Times New Roman" w:hAnsi="Times New Roman" w:cs="Times New Roman"/>
                <w:i/>
                <w:lang w:val="lt-LT"/>
              </w:rPr>
              <w:t>ir į jas atsakyta)</w:t>
            </w:r>
          </w:p>
          <w:p w:rsidR="00EA5C3F" w:rsidRPr="00B4441E" w:rsidRDefault="00EA5C3F" w:rsidP="00D23992">
            <w:pPr>
              <w:suppressAutoHyphens/>
              <w:spacing w:after="0" w:line="240" w:lineRule="auto"/>
              <w:textAlignment w:val="baseline"/>
              <w:rPr>
                <w:rFonts w:ascii="Times New Roman" w:eastAsia="Times New Roman" w:hAnsi="Times New Roman" w:cs="Times New Roman"/>
                <w:b/>
                <w:lang w:val="lt-LT"/>
              </w:rPr>
            </w:pPr>
          </w:p>
        </w:tc>
      </w:tr>
    </w:tbl>
    <w:p w:rsidR="00EA5C3F" w:rsidRPr="00B4441E" w:rsidRDefault="00EA5C3F" w:rsidP="00D23992">
      <w:pPr>
        <w:spacing w:after="0" w:line="240" w:lineRule="auto"/>
        <w:ind w:left="708"/>
        <w:rPr>
          <w:rFonts w:ascii="Times New Roman" w:eastAsia="Times New Roman" w:hAnsi="Times New Roman" w:cs="Times New Roman"/>
          <w:sz w:val="24"/>
          <w:szCs w:val="20"/>
          <w:lang w:val="lt-LT"/>
        </w:rPr>
      </w:pPr>
    </w:p>
    <w:tbl>
      <w:tblPr>
        <w:tblW w:w="9639" w:type="dxa"/>
        <w:tblInd w:w="708" w:type="dxa"/>
        <w:tblLayout w:type="fixed"/>
        <w:tblLook w:val="04A0" w:firstRow="1" w:lastRow="0" w:firstColumn="1" w:lastColumn="0" w:noHBand="0" w:noVBand="1"/>
      </w:tblPr>
      <w:tblGrid>
        <w:gridCol w:w="3589"/>
        <w:gridCol w:w="600"/>
        <w:gridCol w:w="2160"/>
        <w:gridCol w:w="600"/>
        <w:gridCol w:w="2690"/>
      </w:tblGrid>
      <w:tr w:rsidR="00EA5C3F" w:rsidRPr="00B4441E" w:rsidTr="00D23992">
        <w:tc>
          <w:tcPr>
            <w:tcW w:w="3589" w:type="dxa"/>
            <w:tcBorders>
              <w:top w:val="single" w:sz="4" w:space="0" w:color="auto"/>
              <w:left w:val="nil"/>
              <w:bottom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i/>
                <w:lang w:val="lt-LT"/>
              </w:rPr>
            </w:pPr>
            <w:r w:rsidRPr="00B4441E">
              <w:rPr>
                <w:rFonts w:ascii="Times New Roman" w:eastAsia="Times New Roman" w:hAnsi="Times New Roman" w:cs="Times New Roman"/>
                <w:i/>
                <w:lang w:val="lt-LT"/>
              </w:rPr>
              <w:t>(Pirkimo organizatoriaus pareigos)</w:t>
            </w:r>
          </w:p>
        </w:tc>
        <w:tc>
          <w:tcPr>
            <w:tcW w:w="600" w:type="dxa"/>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i/>
                <w:lang w:val="lt-LT"/>
              </w:rPr>
            </w:pPr>
          </w:p>
        </w:tc>
        <w:tc>
          <w:tcPr>
            <w:tcW w:w="2160" w:type="dxa"/>
            <w:tcBorders>
              <w:top w:val="single" w:sz="4" w:space="0" w:color="auto"/>
              <w:left w:val="nil"/>
              <w:bottom w:val="nil"/>
              <w:right w:val="nil"/>
            </w:tcBorders>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i/>
                <w:lang w:val="lt-LT"/>
              </w:rPr>
            </w:pPr>
            <w:r w:rsidRPr="00B4441E">
              <w:rPr>
                <w:rFonts w:ascii="Times New Roman" w:eastAsia="Times New Roman" w:hAnsi="Times New Roman" w:cs="Times New Roman"/>
                <w:i/>
                <w:lang w:val="lt-LT"/>
              </w:rPr>
              <w:t>(Parašas)</w:t>
            </w:r>
          </w:p>
        </w:tc>
        <w:tc>
          <w:tcPr>
            <w:tcW w:w="600" w:type="dxa"/>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i/>
                <w:lang w:val="lt-LT"/>
              </w:rPr>
            </w:pPr>
          </w:p>
        </w:tc>
        <w:tc>
          <w:tcPr>
            <w:tcW w:w="2690" w:type="dxa"/>
            <w:tcBorders>
              <w:top w:val="single" w:sz="4" w:space="0" w:color="auto"/>
              <w:left w:val="nil"/>
              <w:bottom w:val="nil"/>
              <w:right w:val="nil"/>
            </w:tcBorders>
          </w:tcPr>
          <w:p w:rsidR="00EA5C3F" w:rsidRPr="00B4441E" w:rsidRDefault="00EA5C3F" w:rsidP="00D23992">
            <w:pPr>
              <w:suppressAutoHyphens/>
              <w:spacing w:after="0" w:line="240" w:lineRule="auto"/>
              <w:jc w:val="center"/>
              <w:textAlignment w:val="baseline"/>
              <w:rPr>
                <w:rFonts w:ascii="Times New Roman" w:eastAsia="Times New Roman" w:hAnsi="Times New Roman" w:cs="Times New Roman"/>
                <w:i/>
                <w:lang w:val="lt-LT"/>
              </w:rPr>
            </w:pPr>
            <w:r w:rsidRPr="00B4441E">
              <w:rPr>
                <w:rFonts w:ascii="Times New Roman" w:eastAsia="Times New Roman" w:hAnsi="Times New Roman" w:cs="Times New Roman"/>
                <w:i/>
                <w:lang w:val="lt-LT"/>
              </w:rPr>
              <w:t>(Vardas ir pavardė)</w:t>
            </w:r>
          </w:p>
        </w:tc>
      </w:tr>
    </w:tbl>
    <w:p w:rsidR="00EA5C3F" w:rsidRPr="00B4441E" w:rsidRDefault="00EA5C3F" w:rsidP="00D23992">
      <w:pPr>
        <w:suppressAutoHyphens/>
        <w:spacing w:after="0" w:line="240" w:lineRule="auto"/>
        <w:ind w:left="708"/>
        <w:textAlignment w:val="baseline"/>
        <w:rPr>
          <w:rFonts w:ascii="Times New Roman" w:eastAsia="Times New Roman" w:hAnsi="Times New Roman" w:cs="Times New Roman"/>
          <w:color w:val="000000"/>
          <w:sz w:val="24"/>
          <w:szCs w:val="20"/>
          <w:lang w:val="lt-LT"/>
        </w:rPr>
      </w:pPr>
    </w:p>
    <w:tbl>
      <w:tblPr>
        <w:tblW w:w="0" w:type="auto"/>
        <w:tblInd w:w="708" w:type="dxa"/>
        <w:tblLayout w:type="fixed"/>
        <w:tblLook w:val="04A0" w:firstRow="1" w:lastRow="0" w:firstColumn="1" w:lastColumn="0" w:noHBand="0" w:noVBand="1"/>
      </w:tblPr>
      <w:tblGrid>
        <w:gridCol w:w="4253"/>
      </w:tblGrid>
      <w:tr w:rsidR="00EA5C3F" w:rsidRPr="00B4441E" w:rsidTr="00D23992">
        <w:trPr>
          <w:trHeight w:val="628"/>
        </w:trPr>
        <w:tc>
          <w:tcPr>
            <w:tcW w:w="4253" w:type="dxa"/>
            <w:tcBorders>
              <w:top w:val="nil"/>
              <w:left w:val="nil"/>
              <w:bottom w:val="single" w:sz="4" w:space="0" w:color="auto"/>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r w:rsidRPr="00B4441E">
              <w:rPr>
                <w:rFonts w:ascii="Times New Roman" w:eastAsia="Times New Roman" w:hAnsi="Times New Roman" w:cs="Times New Roman"/>
                <w:color w:val="000000"/>
                <w:lang w:val="lt-LT"/>
              </w:rPr>
              <w:t>SUDERINTA:</w:t>
            </w:r>
          </w:p>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p>
        </w:tc>
      </w:tr>
      <w:tr w:rsidR="00EA5C3F" w:rsidRPr="009536D5" w:rsidTr="00D23992">
        <w:trPr>
          <w:trHeight w:val="617"/>
        </w:trPr>
        <w:tc>
          <w:tcPr>
            <w:tcW w:w="4253" w:type="dxa"/>
            <w:tcBorders>
              <w:top w:val="single" w:sz="4" w:space="0" w:color="auto"/>
              <w:left w:val="nil"/>
              <w:bottom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r w:rsidRPr="00B4441E">
              <w:rPr>
                <w:rFonts w:ascii="Times New Roman" w:eastAsia="Times New Roman" w:hAnsi="Times New Roman" w:cs="Times New Roman"/>
                <w:i/>
                <w:lang w:val="lt-LT"/>
              </w:rPr>
              <w:t>(Perkančiosios organizacijos vadovo įgalioto asmens ar struktūrinio padalinio vadovo pareigos)</w:t>
            </w:r>
          </w:p>
        </w:tc>
      </w:tr>
      <w:tr w:rsidR="00EA5C3F" w:rsidRPr="009536D5" w:rsidTr="00D23992">
        <w:trPr>
          <w:trHeight w:val="204"/>
        </w:trPr>
        <w:tc>
          <w:tcPr>
            <w:tcW w:w="4253" w:type="dxa"/>
            <w:tcBorders>
              <w:top w:val="nil"/>
              <w:left w:val="nil"/>
              <w:bottom w:val="single" w:sz="4" w:space="0" w:color="auto"/>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p>
        </w:tc>
      </w:tr>
      <w:tr w:rsidR="00EA5C3F" w:rsidRPr="00B4441E" w:rsidTr="00D23992">
        <w:trPr>
          <w:trHeight w:val="204"/>
        </w:trPr>
        <w:tc>
          <w:tcPr>
            <w:tcW w:w="4253" w:type="dxa"/>
            <w:tcBorders>
              <w:top w:val="single" w:sz="4" w:space="0" w:color="auto"/>
              <w:left w:val="nil"/>
              <w:bottom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r w:rsidRPr="00B4441E">
              <w:rPr>
                <w:rFonts w:ascii="Times New Roman" w:eastAsia="Times New Roman" w:hAnsi="Times New Roman" w:cs="Times New Roman"/>
                <w:i/>
                <w:lang w:val="lt-LT"/>
              </w:rPr>
              <w:t>(Parašas)</w:t>
            </w:r>
          </w:p>
        </w:tc>
      </w:tr>
      <w:tr w:rsidR="00EA5C3F" w:rsidRPr="00B4441E" w:rsidTr="00D23992">
        <w:trPr>
          <w:trHeight w:val="204"/>
        </w:trPr>
        <w:tc>
          <w:tcPr>
            <w:tcW w:w="4253" w:type="dxa"/>
            <w:tcBorders>
              <w:top w:val="nil"/>
              <w:left w:val="nil"/>
              <w:bottom w:val="single" w:sz="4" w:space="0" w:color="auto"/>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p>
        </w:tc>
      </w:tr>
      <w:tr w:rsidR="00EA5C3F" w:rsidRPr="00B4441E" w:rsidTr="00D23992">
        <w:trPr>
          <w:trHeight w:val="204"/>
        </w:trPr>
        <w:tc>
          <w:tcPr>
            <w:tcW w:w="4253" w:type="dxa"/>
            <w:tcBorders>
              <w:top w:val="single" w:sz="4" w:space="0" w:color="auto"/>
              <w:left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lang w:val="lt-LT"/>
              </w:rPr>
            </w:pPr>
            <w:r w:rsidRPr="00B4441E">
              <w:rPr>
                <w:rFonts w:ascii="Times New Roman" w:eastAsia="Times New Roman" w:hAnsi="Times New Roman" w:cs="Times New Roman"/>
                <w:i/>
                <w:lang w:val="lt-LT"/>
              </w:rPr>
              <w:t>(Vardas ir pavardė)</w:t>
            </w:r>
          </w:p>
        </w:tc>
      </w:tr>
      <w:tr w:rsidR="00EA5C3F" w:rsidRPr="00B4441E" w:rsidTr="00D23992">
        <w:trPr>
          <w:trHeight w:val="225"/>
        </w:trPr>
        <w:tc>
          <w:tcPr>
            <w:tcW w:w="4253" w:type="dxa"/>
            <w:tcBorders>
              <w:top w:val="nil"/>
              <w:left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sz w:val="24"/>
                <w:szCs w:val="20"/>
                <w:lang w:val="lt-LT"/>
              </w:rPr>
            </w:pPr>
          </w:p>
        </w:tc>
      </w:tr>
      <w:tr w:rsidR="00EA5C3F" w:rsidRPr="00B4441E" w:rsidTr="00D23992">
        <w:trPr>
          <w:trHeight w:val="236"/>
        </w:trPr>
        <w:tc>
          <w:tcPr>
            <w:tcW w:w="4253" w:type="dxa"/>
            <w:tcBorders>
              <w:left w:val="nil"/>
              <w:bottom w:val="nil"/>
              <w:right w:val="nil"/>
            </w:tcBorders>
          </w:tcPr>
          <w:p w:rsidR="00EA5C3F" w:rsidRPr="00B4441E" w:rsidRDefault="00EA5C3F" w:rsidP="00D23992">
            <w:pPr>
              <w:suppressAutoHyphens/>
              <w:spacing w:after="0" w:line="240" w:lineRule="auto"/>
              <w:textAlignment w:val="baseline"/>
              <w:rPr>
                <w:rFonts w:ascii="Times New Roman" w:eastAsia="Times New Roman" w:hAnsi="Times New Roman" w:cs="Times New Roman"/>
                <w:color w:val="000000"/>
                <w:sz w:val="24"/>
                <w:szCs w:val="20"/>
                <w:lang w:val="lt-LT"/>
              </w:rPr>
            </w:pPr>
          </w:p>
        </w:tc>
      </w:tr>
    </w:tbl>
    <w:p w:rsidR="00EA5C3F" w:rsidRDefault="00EA5C3F" w:rsidP="00D23992">
      <w:pPr>
        <w:spacing w:after="0" w:line="240" w:lineRule="auto"/>
        <w:ind w:left="708"/>
        <w:rPr>
          <w:sz w:val="26"/>
          <w:szCs w:val="26"/>
          <w:lang w:val="lt-LT"/>
        </w:rPr>
      </w:pPr>
    </w:p>
    <w:p w:rsidR="00EA5C3F" w:rsidRDefault="00EA5C3F" w:rsidP="009536D5">
      <w:pPr>
        <w:suppressAutoHyphens/>
        <w:spacing w:after="0" w:line="240" w:lineRule="auto"/>
        <w:ind w:left="708"/>
        <w:jc w:val="center"/>
        <w:textAlignment w:val="baseline"/>
        <w:rPr>
          <w:rFonts w:ascii="Times New Roman" w:eastAsia="Times New Roman" w:hAnsi="Times New Roman" w:cs="Times New Roman"/>
          <w:b/>
          <w:caps/>
          <w:sz w:val="24"/>
          <w:szCs w:val="20"/>
          <w:lang w:val="lt-LT"/>
        </w:rPr>
      </w:pPr>
      <w:r>
        <w:rPr>
          <w:rFonts w:ascii="Times New Roman" w:eastAsia="Times New Roman" w:hAnsi="Times New Roman" w:cs="Times New Roman"/>
          <w:b/>
          <w:caps/>
          <w:sz w:val="24"/>
          <w:szCs w:val="20"/>
          <w:lang w:val="lt-LT"/>
        </w:rPr>
        <w:t>ŠALČININKŲ R. JAŠIŪNŲ LOPŠELIS-DARŽELIS „žILVITIS“</w:t>
      </w:r>
    </w:p>
    <w:p w:rsidR="00EA5C3F" w:rsidRPr="00794828" w:rsidRDefault="00EA5C3F" w:rsidP="00D23992">
      <w:pPr>
        <w:suppressAutoHyphens/>
        <w:spacing w:after="0" w:line="240" w:lineRule="auto"/>
        <w:ind w:left="708"/>
        <w:jc w:val="center"/>
        <w:textAlignment w:val="baseline"/>
        <w:rPr>
          <w:rFonts w:ascii="Times New Roman" w:eastAsia="Times New Roman" w:hAnsi="Times New Roman" w:cs="Times New Roman"/>
          <w:b/>
          <w:lang w:val="lt-LT"/>
        </w:rPr>
      </w:pPr>
    </w:p>
    <w:p w:rsidR="00EA5C3F" w:rsidRPr="00794828" w:rsidRDefault="00EA5C3F" w:rsidP="00D23992">
      <w:pPr>
        <w:suppressAutoHyphens/>
        <w:spacing w:after="0" w:line="240" w:lineRule="auto"/>
        <w:ind w:left="708"/>
        <w:jc w:val="center"/>
        <w:textAlignment w:val="baseline"/>
        <w:rPr>
          <w:rFonts w:ascii="Times New Roman" w:eastAsia="Times New Roman" w:hAnsi="Times New Roman" w:cs="Times New Roman"/>
          <w:i/>
          <w:lang w:val="lt-LT"/>
        </w:rPr>
      </w:pPr>
      <w:r w:rsidRPr="00794828">
        <w:rPr>
          <w:rFonts w:ascii="Times New Roman" w:eastAsia="Times New Roman" w:hAnsi="Times New Roman" w:cs="Times New Roman"/>
          <w:i/>
          <w:lang w:val="lt-LT"/>
        </w:rPr>
        <w:t xml:space="preserve">(darbuotojo, perkančiosios organizacijos vadovo paskirto atlikti pirkimą, </w:t>
      </w:r>
    </w:p>
    <w:p w:rsidR="00EA5C3F" w:rsidRDefault="00EA5C3F" w:rsidP="00D23992">
      <w:pPr>
        <w:suppressAutoHyphens/>
        <w:spacing w:after="0" w:line="240" w:lineRule="auto"/>
        <w:ind w:left="708"/>
        <w:jc w:val="center"/>
        <w:textAlignment w:val="baseline"/>
        <w:rPr>
          <w:rFonts w:ascii="Times New Roman" w:eastAsia="Times New Roman" w:hAnsi="Times New Roman" w:cs="Times New Roman"/>
          <w:i/>
          <w:lang w:val="lt-LT"/>
        </w:rPr>
      </w:pPr>
      <w:r w:rsidRPr="00794828">
        <w:rPr>
          <w:rFonts w:ascii="Times New Roman" w:eastAsia="Times New Roman" w:hAnsi="Times New Roman" w:cs="Times New Roman"/>
          <w:i/>
          <w:lang w:val="lt-LT"/>
        </w:rPr>
        <w:t>vardas ir pavardė)</w:t>
      </w:r>
    </w:p>
    <w:p w:rsidR="00EA5C3F" w:rsidRDefault="00EA5C3F" w:rsidP="00D23992">
      <w:pPr>
        <w:suppressAutoHyphens/>
        <w:spacing w:after="0" w:line="240" w:lineRule="auto"/>
        <w:ind w:left="708"/>
        <w:jc w:val="center"/>
        <w:textAlignment w:val="baseline"/>
        <w:rPr>
          <w:rFonts w:ascii="Times New Roman" w:eastAsia="Times New Roman" w:hAnsi="Times New Roman" w:cs="Times New Roman"/>
          <w:i/>
          <w:lang w:val="lt-LT"/>
        </w:rPr>
      </w:pPr>
    </w:p>
    <w:p w:rsidR="00EA5C3F" w:rsidRPr="00651DB3" w:rsidRDefault="00EA5C3F" w:rsidP="00D23992">
      <w:pPr>
        <w:suppressAutoHyphens/>
        <w:spacing w:after="0" w:line="240" w:lineRule="auto"/>
        <w:ind w:left="708"/>
        <w:jc w:val="center"/>
        <w:textAlignment w:val="baseline"/>
        <w:rPr>
          <w:rFonts w:ascii="Times New Roman" w:eastAsia="Times New Roman" w:hAnsi="Times New Roman" w:cs="Times New Roman"/>
          <w:b/>
          <w:sz w:val="24"/>
          <w:szCs w:val="24"/>
          <w:lang w:val="lt-LT"/>
        </w:rPr>
      </w:pPr>
    </w:p>
    <w:p w:rsidR="00EA5C3F" w:rsidRPr="00794828" w:rsidRDefault="00EA5C3F" w:rsidP="00D23992">
      <w:pPr>
        <w:suppressAutoHyphens/>
        <w:spacing w:after="0" w:line="240" w:lineRule="auto"/>
        <w:ind w:left="708"/>
        <w:jc w:val="center"/>
        <w:textAlignment w:val="baseline"/>
        <w:rPr>
          <w:rFonts w:ascii="Times New Roman" w:eastAsia="Times New Roman" w:hAnsi="Times New Roman" w:cs="Times New Roman"/>
          <w:b/>
          <w:sz w:val="24"/>
          <w:szCs w:val="20"/>
          <w:lang w:val="lt-LT"/>
        </w:rPr>
      </w:pPr>
      <w:r w:rsidRPr="00794828">
        <w:rPr>
          <w:rFonts w:ascii="Times New Roman" w:eastAsia="Times New Roman" w:hAnsi="Times New Roman" w:cs="Times New Roman"/>
          <w:b/>
          <w:sz w:val="24"/>
          <w:szCs w:val="20"/>
          <w:lang w:val="lt-LT"/>
        </w:rPr>
        <w:t>KONFIDENCIALUMO</w:t>
      </w:r>
      <w:r w:rsidRPr="00794828">
        <w:rPr>
          <w:rFonts w:ascii="Times New Roman" w:eastAsia="Times New Roman" w:hAnsi="Times New Roman" w:cs="Times New Roman"/>
          <w:sz w:val="24"/>
          <w:szCs w:val="20"/>
          <w:lang w:val="lt-LT"/>
        </w:rPr>
        <w:t xml:space="preserve"> </w:t>
      </w:r>
      <w:r w:rsidRPr="00794828">
        <w:rPr>
          <w:rFonts w:ascii="Times New Roman" w:eastAsia="Times New Roman" w:hAnsi="Times New Roman" w:cs="Times New Roman"/>
          <w:b/>
          <w:sz w:val="24"/>
          <w:szCs w:val="20"/>
          <w:lang w:val="lt-LT"/>
        </w:rPr>
        <w:t>PASIŽADĖJIMAS</w:t>
      </w:r>
    </w:p>
    <w:p w:rsidR="00EA5C3F" w:rsidRPr="00794828" w:rsidRDefault="00EA5C3F" w:rsidP="00D23992">
      <w:pPr>
        <w:tabs>
          <w:tab w:val="left" w:pos="284"/>
          <w:tab w:val="left" w:pos="1985"/>
        </w:tabs>
        <w:suppressAutoHyphens/>
        <w:spacing w:after="0" w:line="240" w:lineRule="auto"/>
        <w:ind w:left="708"/>
        <w:jc w:val="center"/>
        <w:textAlignment w:val="baseline"/>
        <w:rPr>
          <w:rFonts w:ascii="Times New Roman" w:eastAsia="Times New Roman" w:hAnsi="Times New Roman" w:cs="Times New Roman"/>
          <w:sz w:val="24"/>
          <w:szCs w:val="20"/>
          <w:lang w:val="lt-LT"/>
        </w:rPr>
      </w:pPr>
    </w:p>
    <w:p w:rsidR="00EA5C3F" w:rsidRPr="00794828" w:rsidRDefault="00EA5C3F" w:rsidP="00D23992">
      <w:pPr>
        <w:tabs>
          <w:tab w:val="left" w:pos="284"/>
          <w:tab w:val="left" w:pos="1985"/>
        </w:tabs>
        <w:suppressAutoHyphens/>
        <w:spacing w:after="0" w:line="240" w:lineRule="auto"/>
        <w:ind w:left="708"/>
        <w:jc w:val="center"/>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Pr="00794828">
        <w:rPr>
          <w:rFonts w:ascii="Times New Roman" w:eastAsia="Times New Roman" w:hAnsi="Times New Roman" w:cs="Times New Roman"/>
          <w:sz w:val="24"/>
          <w:szCs w:val="20"/>
          <w:lang w:val="lt-LT"/>
        </w:rPr>
        <w:t>_ m.____________d. Nr. ______</w:t>
      </w:r>
    </w:p>
    <w:p w:rsidR="00EA5C3F" w:rsidRPr="00794828" w:rsidRDefault="00EA5C3F" w:rsidP="00D23992">
      <w:pPr>
        <w:suppressAutoHyphens/>
        <w:spacing w:after="0" w:line="240" w:lineRule="auto"/>
        <w:ind w:left="708"/>
        <w:jc w:val="center"/>
        <w:textAlignment w:val="baseline"/>
        <w:rPr>
          <w:rFonts w:ascii="Times New Roman" w:eastAsia="Times New Roman" w:hAnsi="Times New Roman" w:cs="Times New Roman"/>
          <w:lang w:val="lt-LT"/>
        </w:rPr>
      </w:pPr>
      <w:r>
        <w:rPr>
          <w:rFonts w:ascii="Times New Roman" w:eastAsia="Times New Roman" w:hAnsi="Times New Roman" w:cs="Times New Roman"/>
          <w:lang w:val="lt-LT"/>
        </w:rPr>
        <w:t>Jašiūnai</w:t>
      </w:r>
    </w:p>
    <w:p w:rsidR="00EA5C3F" w:rsidRPr="00794828" w:rsidRDefault="00EA5C3F" w:rsidP="00D23992">
      <w:pPr>
        <w:suppressAutoHyphens/>
        <w:spacing w:after="0" w:line="240" w:lineRule="auto"/>
        <w:ind w:left="708"/>
        <w:jc w:val="center"/>
        <w:textAlignment w:val="baseline"/>
        <w:rPr>
          <w:rFonts w:ascii="Times New Roman" w:eastAsia="Times New Roman" w:hAnsi="Times New Roman" w:cs="Times New Roman"/>
          <w:lang w:val="lt-LT"/>
        </w:rPr>
      </w:pPr>
    </w:p>
    <w:p w:rsidR="00EA5C3F" w:rsidRPr="00794828" w:rsidRDefault="00EA5C3F" w:rsidP="00D23992">
      <w:pPr>
        <w:suppressAutoHyphens/>
        <w:spacing w:after="0" w:line="240" w:lineRule="auto"/>
        <w:ind w:left="708" w:firstLine="720"/>
        <w:jc w:val="both"/>
        <w:textAlignment w:val="baseline"/>
        <w:rPr>
          <w:rFonts w:ascii="Times New Roman" w:eastAsia="Times New Roman" w:hAnsi="Times New Roman" w:cs="Times New Roman"/>
          <w:lang w:val="lt-LT"/>
        </w:rPr>
      </w:pPr>
      <w:r>
        <w:rPr>
          <w:rFonts w:ascii="Times New Roman" w:eastAsia="Times New Roman" w:hAnsi="Times New Roman" w:cs="Times New Roman"/>
          <w:sz w:val="24"/>
          <w:szCs w:val="20"/>
          <w:lang w:val="lt-LT"/>
        </w:rPr>
        <w:t xml:space="preserve">Būdamas </w:t>
      </w:r>
      <w:r w:rsidRPr="00651DB3">
        <w:rPr>
          <w:rFonts w:ascii="Times New Roman" w:eastAsia="Times New Roman" w:hAnsi="Times New Roman" w:cs="Times New Roman"/>
          <w:sz w:val="24"/>
          <w:szCs w:val="20"/>
          <w:lang w:val="lt-LT"/>
        </w:rPr>
        <w:t>pirkimo organizatoriumi</w:t>
      </w:r>
      <w:r w:rsidRPr="00794828">
        <w:rPr>
          <w:rFonts w:ascii="Times New Roman" w:eastAsia="Times New Roman" w:hAnsi="Times New Roman" w:cs="Times New Roman"/>
          <w:lang w:val="lt-LT"/>
        </w:rPr>
        <w:t>:</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lang w:val="lt-LT"/>
        </w:rPr>
      </w:pP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 pasižadu:</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1.1. saugoti ir tik įstatymų bei kitų teisės aktų nustatytais tikslais ir tvarka naudoti konfidencialią informaciją;</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1.2. man patikėtus dokumentus, kuriuose pateikiama konfidenciali informacija, saugoti tokiu būdu, kad tretieji asmenys neturėtų galimybės su jais susipažinti ar pasinaudoti;</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2. Konfidencialią informaciją galėsiu atskleisti tik Lietuvos Respublikos įstatymų nustatytais atvejais.</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 Man išaiškinta, kad konfidencialią informaciją sudaro:</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3.1. informacija, kurios konfidencialumą nurodė šią informaciją pateikusioji šalis ir kurios atskleidimas nėra privalomas pagal Lietuvos Respublikos teisės aktus;</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3.3. kita informacija, jeigu jos atskleidimas prieštarauja įstatymams, daro nuostolių teisėtiems šalių komerciniams interesams arba trukdo užtikrinti sąžiningą konkurenciją.</w:t>
      </w:r>
    </w:p>
    <w:p w:rsidR="00EA5C3F" w:rsidRPr="00794828" w:rsidRDefault="00EA5C3F" w:rsidP="00D23992">
      <w:pPr>
        <w:suppressAutoHyphens/>
        <w:spacing w:after="0" w:line="240" w:lineRule="auto"/>
        <w:ind w:left="708"/>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4. Esu įspėtas, kad, pažeidęs šį pasižadėjimą, turėsiu atlyginti.</w:t>
      </w:r>
    </w:p>
    <w:p w:rsidR="00EA5C3F" w:rsidRDefault="00EA5C3F" w:rsidP="00D23992">
      <w:pPr>
        <w:suppressAutoHyphens/>
        <w:spacing w:after="0" w:line="240" w:lineRule="auto"/>
        <w:ind w:left="708" w:firstLine="57"/>
        <w:jc w:val="both"/>
        <w:textAlignment w:val="baseline"/>
        <w:rPr>
          <w:rFonts w:ascii="Times New Roman" w:eastAsia="Times New Roman" w:hAnsi="Times New Roman" w:cs="Times New Roman"/>
          <w:lang w:val="lt-LT"/>
        </w:rPr>
      </w:pPr>
    </w:p>
    <w:p w:rsidR="00EA5C3F" w:rsidRDefault="00EA5C3F" w:rsidP="00D23992">
      <w:pPr>
        <w:suppressAutoHyphens/>
        <w:spacing w:after="0" w:line="240" w:lineRule="auto"/>
        <w:ind w:left="708" w:firstLine="57"/>
        <w:jc w:val="both"/>
        <w:textAlignment w:val="baseline"/>
        <w:rPr>
          <w:rFonts w:ascii="Times New Roman" w:eastAsia="Times New Roman" w:hAnsi="Times New Roman" w:cs="Times New Roman"/>
          <w:lang w:val="lt-LT"/>
        </w:rPr>
      </w:pPr>
    </w:p>
    <w:p w:rsidR="00EA5C3F" w:rsidRPr="00794828" w:rsidRDefault="00EA5C3F" w:rsidP="00D23992">
      <w:pPr>
        <w:suppressAutoHyphens/>
        <w:spacing w:after="0" w:line="240" w:lineRule="auto"/>
        <w:ind w:left="708" w:firstLine="57"/>
        <w:jc w:val="both"/>
        <w:textAlignment w:val="baseline"/>
        <w:rPr>
          <w:rFonts w:ascii="Times New Roman" w:eastAsia="Times New Roman" w:hAnsi="Times New Roman" w:cs="Times New Roman"/>
          <w:lang w:val="lt-LT"/>
        </w:rPr>
      </w:pPr>
    </w:p>
    <w:p w:rsidR="00EA5C3F" w:rsidRPr="00794828" w:rsidRDefault="00EA5C3F" w:rsidP="00D23992">
      <w:pPr>
        <w:suppressAutoHyphens/>
        <w:spacing w:after="0" w:line="240" w:lineRule="auto"/>
        <w:ind w:left="708" w:firstLine="57"/>
        <w:jc w:val="both"/>
        <w:textAlignment w:val="baseline"/>
        <w:rPr>
          <w:rFonts w:ascii="Times New Roman" w:eastAsia="Times New Roman" w:hAnsi="Times New Roman" w:cs="Times New Roman"/>
          <w:lang w:val="lt-LT"/>
        </w:rPr>
      </w:pPr>
      <w:r w:rsidRPr="00794828">
        <w:rPr>
          <w:rFonts w:ascii="Times New Roman" w:eastAsia="Times New Roman" w:hAnsi="Times New Roman" w:cs="Times New Roman"/>
          <w:lang w:val="lt-LT"/>
        </w:rPr>
        <w:tab/>
      </w:r>
      <w:r w:rsidRPr="00794828">
        <w:rPr>
          <w:rFonts w:ascii="Times New Roman" w:eastAsia="Times New Roman" w:hAnsi="Times New Roman" w:cs="Times New Roman"/>
          <w:lang w:val="lt-LT"/>
        </w:rPr>
        <w:tab/>
        <w:t xml:space="preserve">                                       _______________________________</w:t>
      </w:r>
    </w:p>
    <w:p w:rsidR="00EA5C3F" w:rsidRPr="00794828" w:rsidRDefault="00EA5C3F" w:rsidP="00D23992">
      <w:pPr>
        <w:keepLines/>
        <w:tabs>
          <w:tab w:val="left" w:pos="1304"/>
          <w:tab w:val="left" w:pos="1457"/>
          <w:tab w:val="left" w:pos="1604"/>
          <w:tab w:val="left" w:pos="1757"/>
        </w:tabs>
        <w:suppressAutoHyphens/>
        <w:spacing w:after="0" w:line="240" w:lineRule="auto"/>
        <w:ind w:left="708" w:firstLine="627"/>
        <w:textAlignment w:val="center"/>
        <w:rPr>
          <w:rFonts w:ascii="Times New Roman" w:eastAsia="Times New Roman" w:hAnsi="Times New Roman" w:cs="Times New Roman"/>
          <w:color w:val="000000"/>
          <w:sz w:val="24"/>
          <w:szCs w:val="24"/>
          <w:lang w:val="lt-LT"/>
        </w:rPr>
      </w:pPr>
      <w:r w:rsidRPr="00794828">
        <w:rPr>
          <w:rFonts w:ascii="Times New Roman" w:eastAsia="Times New Roman" w:hAnsi="Times New Roman" w:cs="Times New Roman"/>
          <w:i/>
          <w:lang w:val="lt-LT"/>
        </w:rPr>
        <w:t>(Parašas)</w:t>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t xml:space="preserve">            (Vardas ir pavardė)</w:t>
      </w:r>
    </w:p>
    <w:p w:rsidR="00EA5C3F" w:rsidRPr="00750E36" w:rsidRDefault="00EA5C3F" w:rsidP="00D23992">
      <w:pPr>
        <w:spacing w:after="0" w:line="240" w:lineRule="auto"/>
        <w:ind w:left="708"/>
        <w:rPr>
          <w:sz w:val="26"/>
          <w:szCs w:val="26"/>
          <w:lang w:val="lt-LT"/>
        </w:rPr>
      </w:pPr>
    </w:p>
    <w:sectPr w:rsidR="00EA5C3F" w:rsidRPr="00750E36" w:rsidSect="00F8004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396"/>
  <w:characterSpacingControl w:val="doNotCompress"/>
  <w:compat>
    <w:compatSetting w:name="compatibilityMode" w:uri="http://schemas.microsoft.com/office/word" w:val="12"/>
  </w:compat>
  <w:rsids>
    <w:rsidRoot w:val="006030DB"/>
    <w:rsid w:val="001A4CD1"/>
    <w:rsid w:val="00292A2B"/>
    <w:rsid w:val="002D50AB"/>
    <w:rsid w:val="00444D74"/>
    <w:rsid w:val="004B021D"/>
    <w:rsid w:val="00524248"/>
    <w:rsid w:val="005F7744"/>
    <w:rsid w:val="006030DB"/>
    <w:rsid w:val="00622A40"/>
    <w:rsid w:val="00750E36"/>
    <w:rsid w:val="007D72E8"/>
    <w:rsid w:val="0090456E"/>
    <w:rsid w:val="009536D5"/>
    <w:rsid w:val="00C1283E"/>
    <w:rsid w:val="00C43CDE"/>
    <w:rsid w:val="00D11F24"/>
    <w:rsid w:val="00D23992"/>
    <w:rsid w:val="00EA5C3F"/>
    <w:rsid w:val="00EE20FE"/>
    <w:rsid w:val="00F60E48"/>
    <w:rsid w:val="00FA60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0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030D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50E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0E36"/>
    <w:rPr>
      <w:rFonts w:ascii="Tahoma" w:hAnsi="Tahoma" w:cs="Tahoma"/>
      <w:sz w:val="16"/>
      <w:szCs w:val="16"/>
    </w:rPr>
  </w:style>
  <w:style w:type="character" w:styleId="Eilutsnumeris">
    <w:name w:val="line number"/>
    <w:basedOn w:val="Numatytasispastraiposriftas"/>
    <w:uiPriority w:val="99"/>
    <w:semiHidden/>
    <w:unhideWhenUsed/>
    <w:rsid w:val="00F6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0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030D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50E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0E36"/>
    <w:rPr>
      <w:rFonts w:ascii="Tahoma" w:hAnsi="Tahoma" w:cs="Tahoma"/>
      <w:sz w:val="16"/>
      <w:szCs w:val="16"/>
    </w:rPr>
  </w:style>
  <w:style w:type="character" w:styleId="Eilutsnumeris">
    <w:name w:val="line number"/>
    <w:basedOn w:val="Numatytasispastraiposriftas"/>
    <w:uiPriority w:val="99"/>
    <w:semiHidden/>
    <w:unhideWhenUsed/>
    <w:rsid w:val="00F6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DD3C-ABD9-4019-8E71-C08F0A40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2527</Words>
  <Characters>14410</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4</cp:revision>
  <cp:lastPrinted>2018-01-17T13:35:00Z</cp:lastPrinted>
  <dcterms:created xsi:type="dcterms:W3CDTF">2018-01-22T18:00:00Z</dcterms:created>
  <dcterms:modified xsi:type="dcterms:W3CDTF">2018-01-23T07:46:00Z</dcterms:modified>
</cp:coreProperties>
</file>